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C3B94">
      <w:pPr>
        <w:jc w:val="center"/>
        <w:rPr>
          <w:rFonts w:hint="eastAsia" w:ascii="黑体" w:eastAsia="黑体"/>
          <w:sz w:val="36"/>
          <w:szCs w:val="36"/>
        </w:rPr>
      </w:pPr>
      <w:bookmarkStart w:id="0" w:name="_GoBack"/>
      <w:bookmarkEnd w:id="0"/>
      <w:r>
        <w:rPr>
          <w:rFonts w:hint="eastAsia" w:ascii="黑体" w:eastAsia="黑体"/>
          <w:sz w:val="36"/>
          <w:szCs w:val="36"/>
        </w:rPr>
        <w:t>因公出访情况汇报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3"/>
        <w:gridCol w:w="1384"/>
        <w:gridCol w:w="642"/>
        <w:gridCol w:w="2088"/>
        <w:gridCol w:w="225"/>
        <w:gridCol w:w="1335"/>
        <w:gridCol w:w="1065"/>
        <w:gridCol w:w="1005"/>
      </w:tblGrid>
      <w:tr w14:paraId="737B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43A67F26">
            <w:pPr>
              <w:spacing w:line="400" w:lineRule="exact"/>
              <w:jc w:val="center"/>
              <w:rPr>
                <w:rFonts w:eastAsia="仿宋_GB2312"/>
                <w:sz w:val="32"/>
                <w:szCs w:val="32"/>
              </w:rPr>
            </w:pPr>
            <w:r>
              <w:rPr>
                <w:rFonts w:eastAsia="仿宋_GB2312"/>
                <w:sz w:val="32"/>
                <w:szCs w:val="32"/>
              </w:rPr>
              <w:t>团组</w:t>
            </w:r>
          </w:p>
          <w:p w14:paraId="65689B3C">
            <w:pPr>
              <w:spacing w:line="400" w:lineRule="exact"/>
              <w:jc w:val="center"/>
            </w:pPr>
            <w:r>
              <w:rPr>
                <w:rFonts w:eastAsia="仿宋_GB2312"/>
                <w:sz w:val="32"/>
                <w:szCs w:val="32"/>
              </w:rPr>
              <w:t>信息</w:t>
            </w:r>
          </w:p>
        </w:tc>
        <w:tc>
          <w:tcPr>
            <w:tcW w:w="2089" w:type="dxa"/>
            <w:gridSpan w:val="3"/>
            <w:vAlign w:val="center"/>
          </w:tcPr>
          <w:p w14:paraId="7918431B">
            <w:pPr>
              <w:spacing w:line="400" w:lineRule="exact"/>
              <w:jc w:val="center"/>
              <w:rPr>
                <w:rFonts w:eastAsia="仿宋_GB2312"/>
                <w:sz w:val="32"/>
                <w:szCs w:val="32"/>
              </w:rPr>
            </w:pPr>
            <w:r>
              <w:rPr>
                <w:rFonts w:hint="eastAsia" w:eastAsia="仿宋_GB2312"/>
                <w:sz w:val="32"/>
                <w:szCs w:val="32"/>
              </w:rPr>
              <w:t>团组名称</w:t>
            </w:r>
          </w:p>
        </w:tc>
        <w:tc>
          <w:tcPr>
            <w:tcW w:w="2313" w:type="dxa"/>
            <w:gridSpan w:val="2"/>
            <w:vAlign w:val="center"/>
          </w:tcPr>
          <w:p w14:paraId="32D35BBE">
            <w:pPr>
              <w:spacing w:line="400" w:lineRule="exact"/>
              <w:jc w:val="center"/>
              <w:rPr>
                <w:rFonts w:eastAsia="仿宋_GB2312"/>
                <w:sz w:val="32"/>
                <w:szCs w:val="32"/>
              </w:rPr>
            </w:pPr>
            <w:r>
              <w:rPr>
                <w:rFonts w:hint="eastAsia" w:eastAsia="仿宋_GB2312"/>
                <w:sz w:val="32"/>
                <w:szCs w:val="32"/>
              </w:rPr>
              <w:t>团组成员</w:t>
            </w:r>
            <w:r>
              <w:rPr>
                <w:rFonts w:eastAsia="仿宋_GB2312"/>
                <w:sz w:val="32"/>
                <w:szCs w:val="32"/>
              </w:rPr>
              <w:t>名单</w:t>
            </w:r>
          </w:p>
        </w:tc>
        <w:tc>
          <w:tcPr>
            <w:tcW w:w="3405" w:type="dxa"/>
            <w:gridSpan w:val="3"/>
            <w:vAlign w:val="center"/>
          </w:tcPr>
          <w:p w14:paraId="71736874">
            <w:pPr>
              <w:spacing w:line="400" w:lineRule="exact"/>
              <w:jc w:val="center"/>
              <w:rPr>
                <w:rFonts w:hint="eastAsia" w:eastAsia="仿宋_GB2312"/>
                <w:sz w:val="32"/>
                <w:szCs w:val="32"/>
              </w:rPr>
            </w:pPr>
            <w:r>
              <w:rPr>
                <w:rFonts w:hint="eastAsia" w:eastAsia="仿宋_GB2312"/>
                <w:sz w:val="32"/>
                <w:szCs w:val="32"/>
              </w:rPr>
              <w:t>出入境口岸、时间</w:t>
            </w:r>
          </w:p>
        </w:tc>
      </w:tr>
      <w:tr w14:paraId="0981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14:paraId="55C3F2EC">
            <w:pPr>
              <w:spacing w:line="400" w:lineRule="exact"/>
            </w:pPr>
          </w:p>
        </w:tc>
        <w:tc>
          <w:tcPr>
            <w:tcW w:w="2089" w:type="dxa"/>
            <w:gridSpan w:val="3"/>
          </w:tcPr>
          <w:p w14:paraId="594B1E93">
            <w:pPr>
              <w:spacing w:line="400" w:lineRule="exact"/>
              <w:jc w:val="center"/>
              <w:rPr>
                <w:rFonts w:hint="eastAsia"/>
              </w:rPr>
            </w:pPr>
            <w:r>
              <w:rPr>
                <w:rFonts w:hint="eastAsia" w:ascii="仿宋_GB2312" w:hAnsi="仿宋_GB2312" w:eastAsia="仿宋_GB2312" w:cs="仿宋_GB2312"/>
                <w:sz w:val="28"/>
                <w:szCs w:val="28"/>
              </w:rPr>
              <w:t>汕头大学喻洪等3人赴香港团组</w:t>
            </w:r>
          </w:p>
        </w:tc>
        <w:tc>
          <w:tcPr>
            <w:tcW w:w="2313" w:type="dxa"/>
            <w:gridSpan w:val="2"/>
            <w:vAlign w:val="center"/>
          </w:tcPr>
          <w:p w14:paraId="31E0DB4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喻洪、曾锐、</w:t>
            </w:r>
          </w:p>
          <w:p w14:paraId="1A47E4AB">
            <w:pPr>
              <w:spacing w:line="400" w:lineRule="exact"/>
              <w:jc w:val="center"/>
            </w:pPr>
            <w:r>
              <w:rPr>
                <w:rFonts w:hint="eastAsia" w:ascii="仿宋_GB2312" w:hAnsi="仿宋_GB2312" w:eastAsia="仿宋_GB2312" w:cs="仿宋_GB2312"/>
                <w:sz w:val="28"/>
                <w:szCs w:val="28"/>
              </w:rPr>
              <w:t>黄奕雄</w:t>
            </w:r>
          </w:p>
        </w:tc>
        <w:tc>
          <w:tcPr>
            <w:tcW w:w="3405" w:type="dxa"/>
            <w:gridSpan w:val="3"/>
            <w:vAlign w:val="center"/>
          </w:tcPr>
          <w:p w14:paraId="531C335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11月23日出境</w:t>
            </w:r>
          </w:p>
          <w:p w14:paraId="7BEB35F2">
            <w:pPr>
              <w:spacing w:line="400" w:lineRule="exact"/>
              <w:jc w:val="center"/>
            </w:pPr>
            <w:r>
              <w:rPr>
                <w:rFonts w:hint="eastAsia" w:ascii="仿宋_GB2312" w:hAnsi="仿宋_GB2312" w:eastAsia="仿宋_GB2312" w:cs="仿宋_GB2312"/>
                <w:sz w:val="28"/>
                <w:szCs w:val="28"/>
              </w:rPr>
              <w:t>11月24日入境</w:t>
            </w:r>
          </w:p>
        </w:tc>
      </w:tr>
      <w:tr w14:paraId="7FD3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trPr>
        <w:tc>
          <w:tcPr>
            <w:tcW w:w="9049" w:type="dxa"/>
            <w:gridSpan w:val="9"/>
          </w:tcPr>
          <w:p w14:paraId="4991B993">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1．经费使用情况</w:t>
            </w:r>
          </w:p>
          <w:p w14:paraId="76890647">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本次出访实际需报销的费用约6300元，在资源管理等工作机动费、行政综合专款、对外联络处运作费等项目中开支。</w:t>
            </w:r>
          </w:p>
          <w:p w14:paraId="01C2D5BF">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2．因公出访期间是否遵守严格执行中央八项规定  </w:t>
            </w:r>
            <w:r>
              <w:rPr>
                <w:rFonts w:hint="eastAsia" w:ascii="仿宋_GB2312" w:hAnsi="仿宋_GB2312" w:eastAsia="仿宋_GB2312" w:cs="仿宋_GB2312"/>
                <w:sz w:val="28"/>
                <w:szCs w:val="28"/>
                <w:shd w:val="clear" w:color="auto" w:fill="FFFFFF"/>
              </w:rPr>
              <w:sym w:font="Wingdings 2" w:char="0052"/>
            </w:r>
            <w:r>
              <w:rPr>
                <w:rFonts w:hint="eastAsia" w:ascii="仿宋_GB2312" w:hAnsi="仿宋_GB2312" w:eastAsia="仿宋_GB2312" w:cs="仿宋_GB2312"/>
                <w:sz w:val="28"/>
                <w:szCs w:val="28"/>
                <w:shd w:val="clear" w:color="auto" w:fill="FFFFFF"/>
              </w:rPr>
              <w:t xml:space="preserve"> 是  </w:t>
            </w:r>
            <w:r>
              <w:rPr>
                <w:rFonts w:hint="eastAsia" w:ascii="仿宋_GB2312" w:hAnsi="仿宋_GB2312" w:eastAsia="仿宋_GB2312" w:cs="仿宋_GB2312"/>
                <w:sz w:val="28"/>
                <w:szCs w:val="28"/>
                <w:shd w:val="clear" w:color="auto" w:fill="FFFFFF"/>
              </w:rPr>
              <w:sym w:font="Wingdings 2" w:char="00A3"/>
            </w:r>
            <w:r>
              <w:rPr>
                <w:rFonts w:hint="eastAsia" w:ascii="仿宋_GB2312" w:hAnsi="仿宋_GB2312" w:eastAsia="仿宋_GB2312" w:cs="仿宋_GB2312"/>
                <w:sz w:val="28"/>
                <w:szCs w:val="28"/>
                <w:shd w:val="clear" w:color="auto" w:fill="FFFFFF"/>
              </w:rPr>
              <w:t xml:space="preserve">  否</w:t>
            </w:r>
          </w:p>
          <w:p w14:paraId="2A8EAEEB">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如有特殊情况，请在此列出：</w:t>
            </w:r>
          </w:p>
          <w:p w14:paraId="3ED93F7F">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3．出访报告（</w:t>
            </w:r>
            <w:r>
              <w:rPr>
                <w:rFonts w:hint="eastAsia" w:ascii="仿宋_GB2312" w:hAnsi="仿宋_GB2312" w:eastAsia="仿宋_GB2312" w:cs="仿宋_GB2312"/>
                <w:sz w:val="28"/>
                <w:szCs w:val="28"/>
              </w:rPr>
              <w:t>出访成效，包括活动内容，成果、感想、建议</w:t>
            </w:r>
            <w:r>
              <w:rPr>
                <w:rFonts w:hint="eastAsia" w:ascii="仿宋_GB2312" w:hAnsi="仿宋_GB2312" w:eastAsia="仿宋_GB2312" w:cs="仿宋_GB2312"/>
                <w:sz w:val="28"/>
                <w:szCs w:val="28"/>
                <w:shd w:val="clear" w:color="auto" w:fill="FFFFFF"/>
              </w:rPr>
              <w:t>）</w:t>
            </w:r>
          </w:p>
          <w:p w14:paraId="2F65B89D">
            <w:pPr>
              <w:spacing w:line="480" w:lineRule="exact"/>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一、出访内容及成果</w:t>
            </w:r>
          </w:p>
          <w:p w14:paraId="6C6831D4">
            <w:pPr>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（一）加强香港高校联系，助力湾区教育发展</w:t>
            </w:r>
          </w:p>
          <w:p w14:paraId="744C8733">
            <w:pPr>
              <w:spacing w:line="48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应香港教育大学邀请，喻校副校长带队赴港参加香港教育大学三十周年校庆活动。此次出席香港教育大学校庆活动，有助于进一步加强与香港高校的联系，共同促进在人才培养、教育教学等方面的交流合作，巩固拓展“李嘉诚基金会奖学金计划 香港教育大学课程硕士内地学生入学奖学金”等项目，助力粤港澳大湾区教育合作建设。</w:t>
            </w:r>
          </w:p>
          <w:p w14:paraId="36EBB307">
            <w:pPr>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（二）凝聚校友力量，整合校友资源</w:t>
            </w:r>
          </w:p>
          <w:p w14:paraId="0B3FE4FE">
            <w:pPr>
              <w:spacing w:line="480" w:lineRule="exact"/>
              <w:ind w:firstLine="560" w:firstLineChars="200"/>
              <w:rPr>
                <w:rFonts w:hint="eastAsia" w:ascii="仿宋_GB2312" w:hAnsi="微软雅黑" w:eastAsia="仿宋_GB2312"/>
                <w:sz w:val="28"/>
                <w:szCs w:val="28"/>
                <w:shd w:val="clear" w:color="auto" w:fill="FFFFFF"/>
              </w:rPr>
            </w:pPr>
            <w:r>
              <w:rPr>
                <w:rFonts w:hint="eastAsia" w:ascii="仿宋_GB2312" w:hAnsi="仿宋_GB2312" w:eastAsia="仿宋_GB2312" w:cs="仿宋_GB2312"/>
                <w:sz w:val="28"/>
                <w:szCs w:val="28"/>
                <w:shd w:val="clear" w:color="auto" w:fill="FFFFFF"/>
              </w:rPr>
              <w:t>出访期间，喻洪副校长带队与香港校友会负责人及多位在港校友代表进行了面对面的交流，大大加强了学校与香港乃至大湾区校友之间的联系。</w:t>
            </w:r>
            <w:r>
              <w:rPr>
                <w:rFonts w:hint="eastAsia" w:ascii="仿宋_GB2312" w:hAnsi="微软雅黑" w:eastAsia="仿宋_GB2312"/>
                <w:sz w:val="28"/>
                <w:szCs w:val="28"/>
                <w:shd w:val="clear" w:color="auto" w:fill="FFFFFF"/>
              </w:rPr>
              <w:t>通过交流互动，校友们感受到了母校的关怀与牵挂，进一步增强了对母校的认同感和归属感。校友们在各自的领域中积累了丰富的经验和资源，通过此次交流，积极推动校友资源的整合与共享，鼓励校友们为母校的发展贡献力量，这种紧密的联系为今后校友与母校在学术交流、人才培养、科研合作等方面的互动奠定了坚实的基础。</w:t>
            </w:r>
          </w:p>
          <w:p w14:paraId="2D40A8C2">
            <w:pPr>
              <w:spacing w:line="480" w:lineRule="exact"/>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二、出访感想</w:t>
            </w:r>
          </w:p>
          <w:p w14:paraId="2496F511">
            <w:pPr>
              <w:spacing w:line="480" w:lineRule="exact"/>
              <w:ind w:firstLine="560" w:firstLineChars="200"/>
              <w:rPr>
                <w:rFonts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（一）要坚持和深化高水平教育对外交流合作</w:t>
            </w:r>
          </w:p>
          <w:p w14:paraId="4E4457CE">
            <w:pPr>
              <w:spacing w:line="48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党的二十届三中全会强调推动高水平教育对外开放，明确指出了教育开放作为国家战略的重要性。推动教育高水平对外开放是加快建设教育强国的必然要求。我们要加强与粤港澳大湾区高校之间的合作交流，积极开辟对外交流合作新途径、新赛道，创新对外交流合作观念、机制，搭建多元交流平台，以高水平教育对外交流合作推动学校高质量发展。</w:t>
            </w:r>
          </w:p>
          <w:p w14:paraId="2EE95061">
            <w:pPr>
              <w:spacing w:line="480" w:lineRule="exact"/>
              <w:ind w:firstLine="560" w:firstLineChars="200"/>
              <w:rPr>
                <w:rFonts w:hint="eastAsia" w:ascii="楷体_GB2312" w:hAnsi="楷体_GB2312" w:eastAsia="楷体_GB2312" w:cs="楷体_GB2312"/>
                <w:sz w:val="28"/>
                <w:szCs w:val="28"/>
                <w:shd w:val="clear" w:color="auto" w:fill="FFFFFF"/>
              </w:rPr>
            </w:pPr>
            <w:r>
              <w:rPr>
                <w:rFonts w:hint="eastAsia" w:ascii="楷体_GB2312" w:hAnsi="楷体_GB2312" w:eastAsia="楷体_GB2312" w:cs="楷体_GB2312"/>
                <w:sz w:val="28"/>
                <w:szCs w:val="28"/>
                <w:shd w:val="clear" w:color="auto" w:fill="FFFFFF"/>
              </w:rPr>
              <w:t>（二）要重视和加强校友工作，密切联系和交流</w:t>
            </w:r>
          </w:p>
          <w:p w14:paraId="48C6C584">
            <w:pPr>
              <w:spacing w:line="480" w:lineRule="exact"/>
              <w:ind w:firstLine="560" w:firstLineChars="200"/>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sz w:val="28"/>
                <w:szCs w:val="28"/>
                <w:shd w:val="clear" w:color="auto" w:fill="FFFFFF"/>
              </w:rPr>
              <w:t>此次香港之行</w:t>
            </w:r>
            <w:r>
              <w:rPr>
                <w:rFonts w:hint="eastAsia" w:ascii="仿宋_GB2312" w:hAnsi="仿宋_GB2312" w:eastAsia="仿宋_GB2312" w:cs="仿宋_GB2312"/>
                <w:sz w:val="28"/>
                <w:szCs w:val="28"/>
                <w:shd w:val="clear" w:color="auto" w:fill="FFFFFF"/>
              </w:rPr>
              <w:t>，与在港校友深入交流，</w:t>
            </w:r>
            <w:r>
              <w:rPr>
                <w:rFonts w:hint="eastAsia" w:ascii="仿宋_GB2312" w:hAnsi="仿宋_GB2312" w:eastAsia="仿宋_GB2312" w:cs="仿宋_GB2312"/>
                <w:sz w:val="28"/>
                <w:szCs w:val="28"/>
                <w:shd w:val="clear" w:color="auto" w:fill="FFFFFF"/>
              </w:rPr>
              <w:t>更加</w:t>
            </w:r>
            <w:r>
              <w:rPr>
                <w:rFonts w:hint="eastAsia" w:ascii="仿宋_GB2312" w:hAnsi="仿宋_GB2312" w:eastAsia="仿宋_GB2312" w:cs="仿宋_GB2312"/>
                <w:sz w:val="28"/>
                <w:szCs w:val="28"/>
                <w:shd w:val="clear" w:color="auto" w:fill="FFFFFF"/>
              </w:rPr>
              <w:t>真切体会到校友对母校的深情厚谊，也更加</w:t>
            </w:r>
            <w:r>
              <w:rPr>
                <w:rFonts w:hint="eastAsia" w:ascii="仿宋_GB2312" w:hAnsi="仿宋_GB2312" w:eastAsia="仿宋_GB2312" w:cs="仿宋_GB2312"/>
                <w:sz w:val="28"/>
                <w:szCs w:val="28"/>
                <w:shd w:val="clear" w:color="auto" w:fill="FFFFFF"/>
              </w:rPr>
              <w:t>深刻认识到校友是学校的宝贵财富。校友们在各自领域内的成就，不仅为母校增光添彩，也</w:t>
            </w:r>
            <w:r>
              <w:rPr>
                <w:rFonts w:hint="eastAsia" w:ascii="仿宋_GB2312" w:hAnsi="仿宋_GB2312" w:eastAsia="仿宋_GB2312" w:cs="仿宋_GB2312"/>
                <w:sz w:val="28"/>
                <w:szCs w:val="28"/>
                <w:shd w:val="clear" w:color="auto" w:fill="FFFFFF"/>
              </w:rPr>
              <w:t>能</w:t>
            </w:r>
            <w:r>
              <w:rPr>
                <w:rFonts w:hint="eastAsia" w:ascii="仿宋_GB2312" w:hAnsi="仿宋_GB2312" w:eastAsia="仿宋_GB2312" w:cs="仿宋_GB2312"/>
                <w:sz w:val="28"/>
                <w:szCs w:val="28"/>
                <w:shd w:val="clear" w:color="auto" w:fill="FFFFFF"/>
              </w:rPr>
              <w:t>为学校发展提供强大支持。我们应该更加重视校友工作，</w:t>
            </w:r>
            <w:r>
              <w:rPr>
                <w:rFonts w:hint="eastAsia" w:ascii="仿宋_GB2312" w:hAnsi="仿宋_GB2312" w:eastAsia="仿宋_GB2312" w:cs="仿宋_GB2312"/>
                <w:sz w:val="28"/>
                <w:szCs w:val="28"/>
                <w:shd w:val="clear" w:color="auto" w:fill="FFFFFF"/>
              </w:rPr>
              <w:t>密切</w:t>
            </w:r>
            <w:r>
              <w:rPr>
                <w:rFonts w:hint="eastAsia" w:ascii="仿宋_GB2312" w:hAnsi="仿宋_GB2312" w:eastAsia="仿宋_GB2312" w:cs="仿宋_GB2312"/>
                <w:sz w:val="28"/>
                <w:szCs w:val="28"/>
                <w:shd w:val="clear" w:color="auto" w:fill="FFFFFF"/>
              </w:rPr>
              <w:t>与校友的联系</w:t>
            </w:r>
            <w:r>
              <w:rPr>
                <w:rFonts w:hint="eastAsia" w:ascii="仿宋_GB2312" w:hAnsi="仿宋_GB2312" w:eastAsia="仿宋_GB2312" w:cs="仿宋_GB2312"/>
                <w:sz w:val="28"/>
                <w:szCs w:val="28"/>
                <w:shd w:val="clear" w:color="auto" w:fill="FFFFFF"/>
              </w:rPr>
              <w:t>和</w:t>
            </w:r>
            <w:r>
              <w:rPr>
                <w:rFonts w:hint="eastAsia" w:ascii="仿宋_GB2312" w:hAnsi="仿宋_GB2312" w:eastAsia="仿宋_GB2312" w:cs="仿宋_GB2312"/>
                <w:sz w:val="28"/>
                <w:szCs w:val="28"/>
                <w:shd w:val="clear" w:color="auto" w:fill="FFFFFF"/>
              </w:rPr>
              <w:t>合作，充分发挥校友的资源优势，共同推动学校高质量发展。</w:t>
            </w:r>
          </w:p>
          <w:p w14:paraId="2DF735B4">
            <w:pPr>
              <w:spacing w:line="480" w:lineRule="exact"/>
              <w:rPr>
                <w:rFonts w:hint="eastAsia"/>
              </w:rPr>
            </w:pPr>
          </w:p>
        </w:tc>
      </w:tr>
      <w:tr w14:paraId="58B4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049" w:type="dxa"/>
            <w:gridSpan w:val="9"/>
          </w:tcPr>
          <w:p w14:paraId="01E8BD59">
            <w:pPr>
              <w:spacing w:line="400" w:lineRule="exact"/>
              <w:jc w:val="center"/>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sz w:val="28"/>
                <w:szCs w:val="28"/>
              </w:rPr>
              <w:t>出访后续工作落实情况：</w:t>
            </w:r>
          </w:p>
        </w:tc>
      </w:tr>
      <w:tr w14:paraId="6892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05" w:type="dxa"/>
            <w:gridSpan w:val="2"/>
          </w:tcPr>
          <w:p w14:paraId="2792BCF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w:t>
            </w:r>
          </w:p>
          <w:p w14:paraId="4369442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分类</w:t>
            </w:r>
          </w:p>
        </w:tc>
        <w:tc>
          <w:tcPr>
            <w:tcW w:w="1384" w:type="dxa"/>
          </w:tcPr>
          <w:p w14:paraId="3867500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任务完成状态</w:t>
            </w:r>
          </w:p>
        </w:tc>
        <w:tc>
          <w:tcPr>
            <w:tcW w:w="2730" w:type="dxa"/>
            <w:gridSpan w:val="2"/>
          </w:tcPr>
          <w:p w14:paraId="6E75CC32">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达成具体成果</w:t>
            </w:r>
          </w:p>
        </w:tc>
        <w:tc>
          <w:tcPr>
            <w:tcW w:w="1560" w:type="dxa"/>
            <w:gridSpan w:val="2"/>
          </w:tcPr>
          <w:p w14:paraId="38278816">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需后续</w:t>
            </w:r>
          </w:p>
          <w:p w14:paraId="5F9C7973">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落实事项</w:t>
            </w:r>
          </w:p>
        </w:tc>
        <w:tc>
          <w:tcPr>
            <w:tcW w:w="1065" w:type="dxa"/>
          </w:tcPr>
          <w:p w14:paraId="10EC193B">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牵头</w:t>
            </w:r>
          </w:p>
          <w:p w14:paraId="4C90A7DA">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005" w:type="dxa"/>
          </w:tcPr>
          <w:p w14:paraId="6484319B">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w:t>
            </w:r>
          </w:p>
          <w:p w14:paraId="3E6FF83A">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r>
      <w:tr w14:paraId="3C01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05" w:type="dxa"/>
            <w:gridSpan w:val="2"/>
            <w:vAlign w:val="center"/>
          </w:tcPr>
          <w:p w14:paraId="5AF6C80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友好交流访问</w:t>
            </w:r>
          </w:p>
        </w:tc>
        <w:tc>
          <w:tcPr>
            <w:tcW w:w="1384" w:type="dxa"/>
            <w:vAlign w:val="center"/>
          </w:tcPr>
          <w:p w14:paraId="4864CFC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c>
          <w:tcPr>
            <w:tcW w:w="2730" w:type="dxa"/>
            <w:gridSpan w:val="2"/>
            <w:vAlign w:val="center"/>
          </w:tcPr>
          <w:p w14:paraId="5E84865F">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加强了与香港教育大学等香港高校的合作交流；</w:t>
            </w:r>
          </w:p>
          <w:p w14:paraId="1D23CC5F">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凝聚了校友力量。</w:t>
            </w:r>
          </w:p>
        </w:tc>
        <w:tc>
          <w:tcPr>
            <w:tcW w:w="1560" w:type="dxa"/>
            <w:gridSpan w:val="2"/>
            <w:vAlign w:val="center"/>
          </w:tcPr>
          <w:p w14:paraId="0164148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1065" w:type="dxa"/>
            <w:vAlign w:val="center"/>
          </w:tcPr>
          <w:p w14:paraId="77746BD6">
            <w:pPr>
              <w:spacing w:line="400" w:lineRule="exact"/>
              <w:jc w:val="center"/>
              <w:rPr>
                <w:rFonts w:hint="eastAsia" w:ascii="仿宋_GB2312" w:hAnsi="仿宋_GB2312" w:eastAsia="仿宋_GB2312" w:cs="仿宋_GB2312"/>
                <w:sz w:val="28"/>
                <w:szCs w:val="28"/>
              </w:rPr>
            </w:pPr>
          </w:p>
        </w:tc>
        <w:tc>
          <w:tcPr>
            <w:tcW w:w="1005" w:type="dxa"/>
            <w:vAlign w:val="center"/>
          </w:tcPr>
          <w:p w14:paraId="4859E70E">
            <w:pPr>
              <w:spacing w:line="400" w:lineRule="exact"/>
              <w:jc w:val="center"/>
              <w:rPr>
                <w:rFonts w:hint="eastAsia" w:ascii="仿宋_GB2312" w:hAnsi="仿宋_GB2312" w:eastAsia="仿宋_GB2312" w:cs="仿宋_GB2312"/>
                <w:sz w:val="28"/>
                <w:szCs w:val="28"/>
              </w:rPr>
            </w:pPr>
          </w:p>
        </w:tc>
      </w:tr>
    </w:tbl>
    <w:p w14:paraId="2F525745">
      <w:pPr>
        <w:spacing w:line="500" w:lineRule="exact"/>
        <w:rPr>
          <w:rFonts w:ascii="仿宋_GB2312" w:hAnsi="仿宋_GB2312" w:eastAsia="仿宋_GB2312" w:cs="仿宋_GB2312"/>
          <w:sz w:val="24"/>
        </w:rPr>
      </w:pPr>
      <w:r>
        <w:rPr>
          <w:rFonts w:hint="eastAsia" w:ascii="仿宋_GB2312" w:hAnsi="仿宋_GB2312" w:eastAsia="仿宋_GB2312" w:cs="仿宋_GB2312"/>
          <w:color w:val="333333"/>
          <w:sz w:val="24"/>
          <w:shd w:val="clear" w:color="auto" w:fill="FFFFFF"/>
        </w:rPr>
        <w:t>1．</w:t>
      </w:r>
      <w:r>
        <w:rPr>
          <w:rFonts w:hint="eastAsia" w:ascii="仿宋_GB2312" w:hAnsi="仿宋_GB2312" w:eastAsia="仿宋_GB2312" w:cs="仿宋_GB2312"/>
          <w:sz w:val="24"/>
        </w:rPr>
        <w:t>任务分类参照绩效评估表“配合总体外交、经贸投资合作、科技文体交流、教育研修培训、友好交流访问、社会管理调研、综合类及其他”等7项填写；</w:t>
      </w:r>
    </w:p>
    <w:p w14:paraId="04EAC29E">
      <w:pPr>
        <w:spacing w:line="500" w:lineRule="exact"/>
        <w:rPr>
          <w:rFonts w:hint="eastAsia"/>
        </w:rPr>
      </w:pPr>
      <w:r>
        <w:rPr>
          <w:rFonts w:hint="eastAsia" w:ascii="仿宋_GB2312" w:hAnsi="仿宋_GB2312" w:eastAsia="仿宋_GB2312" w:cs="仿宋_GB2312"/>
          <w:color w:val="333333"/>
          <w:sz w:val="24"/>
          <w:shd w:val="clear" w:color="auto" w:fill="FFFFFF"/>
        </w:rPr>
        <w:t>2．</w:t>
      </w:r>
      <w:r>
        <w:rPr>
          <w:rFonts w:hint="eastAsia" w:ascii="仿宋_GB2312" w:hAnsi="仿宋_GB2312" w:eastAsia="仿宋_GB2312" w:cs="仿宋_GB2312"/>
          <w:sz w:val="24"/>
        </w:rPr>
        <w:t>“完成状态”填写“已完成，仍需后续推动落实”或“已完成，不需后续推动落实”以及“未完成”；如填写“已完成，仍需后续推动落实”，请在“需后续落实事项”填写具体事项；达成具体成果指双方谈成的具体项目、事项和签署协议等，如没有，请填写“无”。</w:t>
      </w:r>
    </w:p>
    <w:sectPr>
      <w:headerReference r:id="rId3" w:type="default"/>
      <w:footerReference r:id="rId4" w:type="default"/>
      <w:pgSz w:w="11906" w:h="16838"/>
      <w:pgMar w:top="2098" w:right="1474" w:bottom="1984"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0A95">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28468">
                          <w:pPr>
                            <w:pStyle w:val="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9428468">
                    <w:pPr>
                      <w:pStyle w:val="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9A1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mViMjU3ZDhjNDczOGY1NDQ2NzkxZDk3NmY3NTgifQ=="/>
  </w:docVars>
  <w:rsids>
    <w:rsidRoot w:val="00787781"/>
    <w:rsid w:val="00012793"/>
    <w:rsid w:val="00083163"/>
    <w:rsid w:val="000F6954"/>
    <w:rsid w:val="00215BAC"/>
    <w:rsid w:val="00241148"/>
    <w:rsid w:val="0027162A"/>
    <w:rsid w:val="002B1809"/>
    <w:rsid w:val="002D1C65"/>
    <w:rsid w:val="003115B6"/>
    <w:rsid w:val="00390A69"/>
    <w:rsid w:val="003D333D"/>
    <w:rsid w:val="003D5185"/>
    <w:rsid w:val="003E1FC8"/>
    <w:rsid w:val="00441ED4"/>
    <w:rsid w:val="004662F4"/>
    <w:rsid w:val="00565BB3"/>
    <w:rsid w:val="005A420D"/>
    <w:rsid w:val="005B27B4"/>
    <w:rsid w:val="005C77C4"/>
    <w:rsid w:val="00635AA1"/>
    <w:rsid w:val="00637CAC"/>
    <w:rsid w:val="00787781"/>
    <w:rsid w:val="00850814"/>
    <w:rsid w:val="008820CC"/>
    <w:rsid w:val="009048E5"/>
    <w:rsid w:val="00941C6C"/>
    <w:rsid w:val="009752F7"/>
    <w:rsid w:val="009C2C6A"/>
    <w:rsid w:val="009C60A7"/>
    <w:rsid w:val="00B16433"/>
    <w:rsid w:val="00B4009A"/>
    <w:rsid w:val="00B50E24"/>
    <w:rsid w:val="00B71277"/>
    <w:rsid w:val="00B76C90"/>
    <w:rsid w:val="00BC0C1B"/>
    <w:rsid w:val="00CB42F7"/>
    <w:rsid w:val="00D059A9"/>
    <w:rsid w:val="00D146AB"/>
    <w:rsid w:val="00D231C5"/>
    <w:rsid w:val="00D24AB5"/>
    <w:rsid w:val="00D472A7"/>
    <w:rsid w:val="00DE782F"/>
    <w:rsid w:val="00DF4B33"/>
    <w:rsid w:val="00E5644E"/>
    <w:rsid w:val="00E85114"/>
    <w:rsid w:val="00EA5D5E"/>
    <w:rsid w:val="00EB394B"/>
    <w:rsid w:val="00F22001"/>
    <w:rsid w:val="00FB7A11"/>
    <w:rsid w:val="0CC25F19"/>
    <w:rsid w:val="170E7AC9"/>
    <w:rsid w:val="1C2362A8"/>
    <w:rsid w:val="28555FC1"/>
    <w:rsid w:val="2BCC6E1E"/>
    <w:rsid w:val="2EA80FBB"/>
    <w:rsid w:val="304A7E0E"/>
    <w:rsid w:val="403646E7"/>
    <w:rsid w:val="450D34CE"/>
    <w:rsid w:val="45875DB7"/>
    <w:rsid w:val="45B91453"/>
    <w:rsid w:val="49E14F29"/>
    <w:rsid w:val="4C411C3F"/>
    <w:rsid w:val="632C5CF5"/>
    <w:rsid w:val="63356C4B"/>
    <w:rsid w:val="69C06FF7"/>
    <w:rsid w:val="70F4178D"/>
    <w:rsid w:val="7CE0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汕头大学</Company>
  <Pages>2</Pages>
  <Words>1297</Words>
  <Characters>1304</Characters>
  <Lines>9</Lines>
  <Paragraphs>2</Paragraphs>
  <TotalTime>0</TotalTime>
  <ScaleCrop>false</ScaleCrop>
  <LinksUpToDate>false</LinksUpToDate>
  <CharactersWithSpaces>1312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2024-11-26T08:31:00Z</dcterms:created>
  <dc:creator>郭兆鹏</dc:creator>
  <cp:lastModifiedBy>zpguo</cp:lastModifiedBy>
  <cp:lastPrinted>2010-03-09T03:50:00Z</cp:lastPrinted>
  <dcterms:modified xsi:type="dcterms:W3CDTF">2024-11-26T09:13:05Z</dcterms:modified>
  <dc:title>出访报告评估表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9C8F1D9E6AEA4097AC5A8AC564D56446_13</vt:lpwstr>
  </property>
</Properties>
</file>