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5D10" w14:textId="77777777" w:rsidR="004C1863" w:rsidRDefault="00000000">
      <w:pPr>
        <w:jc w:val="center"/>
        <w:rPr>
          <w:rFonts w:ascii="黑体" w:eastAsia="黑体"/>
          <w:sz w:val="36"/>
          <w:szCs w:val="36"/>
        </w:rPr>
      </w:pPr>
      <w:r>
        <w:rPr>
          <w:rFonts w:ascii="黑体" w:eastAsia="黑体" w:hint="eastAsia"/>
          <w:sz w:val="36"/>
          <w:szCs w:val="36"/>
        </w:rPr>
        <w:t>因公出访情况汇报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3"/>
        <w:gridCol w:w="1497"/>
        <w:gridCol w:w="708"/>
        <w:gridCol w:w="709"/>
        <w:gridCol w:w="851"/>
        <w:gridCol w:w="708"/>
        <w:gridCol w:w="1276"/>
        <w:gridCol w:w="1468"/>
      </w:tblGrid>
      <w:tr w:rsidR="004C1863" w14:paraId="65E2D178" w14:textId="77777777" w:rsidTr="00E7455D">
        <w:tc>
          <w:tcPr>
            <w:tcW w:w="1242" w:type="dxa"/>
            <w:vMerge w:val="restart"/>
            <w:vAlign w:val="center"/>
          </w:tcPr>
          <w:p w14:paraId="5650494D" w14:textId="77777777" w:rsidR="004C1863" w:rsidRDefault="00000000">
            <w:pPr>
              <w:jc w:val="center"/>
              <w:rPr>
                <w:rFonts w:eastAsia="仿宋_GB2312"/>
                <w:sz w:val="32"/>
                <w:szCs w:val="32"/>
              </w:rPr>
            </w:pPr>
            <w:r>
              <w:rPr>
                <w:rFonts w:eastAsia="仿宋_GB2312"/>
                <w:sz w:val="32"/>
                <w:szCs w:val="32"/>
              </w:rPr>
              <w:t>团组</w:t>
            </w:r>
          </w:p>
          <w:p w14:paraId="7B9E1985" w14:textId="77777777" w:rsidR="004C1863" w:rsidRDefault="00000000">
            <w:pPr>
              <w:jc w:val="center"/>
            </w:pPr>
            <w:r>
              <w:rPr>
                <w:rFonts w:eastAsia="仿宋_GB2312"/>
                <w:sz w:val="32"/>
                <w:szCs w:val="32"/>
              </w:rPr>
              <w:t>信息</w:t>
            </w:r>
          </w:p>
        </w:tc>
        <w:tc>
          <w:tcPr>
            <w:tcW w:w="2268" w:type="dxa"/>
            <w:gridSpan w:val="3"/>
            <w:vAlign w:val="center"/>
          </w:tcPr>
          <w:p w14:paraId="33EF2E0E" w14:textId="77777777" w:rsidR="004C1863" w:rsidRDefault="00000000">
            <w:pPr>
              <w:jc w:val="center"/>
              <w:rPr>
                <w:rFonts w:eastAsia="仿宋_GB2312"/>
                <w:sz w:val="32"/>
                <w:szCs w:val="32"/>
              </w:rPr>
            </w:pPr>
            <w:r>
              <w:rPr>
                <w:rFonts w:eastAsia="仿宋_GB2312" w:hint="eastAsia"/>
                <w:sz w:val="32"/>
                <w:szCs w:val="32"/>
              </w:rPr>
              <w:t>团组名称</w:t>
            </w:r>
          </w:p>
        </w:tc>
        <w:tc>
          <w:tcPr>
            <w:tcW w:w="1560" w:type="dxa"/>
            <w:gridSpan w:val="2"/>
            <w:vAlign w:val="center"/>
          </w:tcPr>
          <w:p w14:paraId="42855C31" w14:textId="77777777" w:rsidR="004C1863" w:rsidRDefault="00000000">
            <w:pPr>
              <w:jc w:val="center"/>
              <w:rPr>
                <w:rFonts w:eastAsia="仿宋_GB2312"/>
                <w:sz w:val="32"/>
                <w:szCs w:val="32"/>
              </w:rPr>
            </w:pPr>
            <w:r>
              <w:rPr>
                <w:rFonts w:eastAsia="仿宋_GB2312" w:hint="eastAsia"/>
                <w:sz w:val="32"/>
                <w:szCs w:val="32"/>
              </w:rPr>
              <w:t>团组成员</w:t>
            </w:r>
            <w:r>
              <w:rPr>
                <w:rFonts w:eastAsia="仿宋_GB2312"/>
                <w:sz w:val="32"/>
                <w:szCs w:val="32"/>
              </w:rPr>
              <w:t>名单</w:t>
            </w:r>
          </w:p>
        </w:tc>
        <w:tc>
          <w:tcPr>
            <w:tcW w:w="3452" w:type="dxa"/>
            <w:gridSpan w:val="3"/>
            <w:vAlign w:val="center"/>
          </w:tcPr>
          <w:p w14:paraId="7EEA63DD" w14:textId="77777777" w:rsidR="004C1863" w:rsidRDefault="00000000">
            <w:pPr>
              <w:jc w:val="center"/>
              <w:rPr>
                <w:rFonts w:eastAsia="仿宋_GB2312"/>
                <w:sz w:val="32"/>
                <w:szCs w:val="32"/>
              </w:rPr>
            </w:pPr>
            <w:r>
              <w:rPr>
                <w:rFonts w:eastAsia="仿宋_GB2312" w:hint="eastAsia"/>
                <w:sz w:val="32"/>
                <w:szCs w:val="32"/>
              </w:rPr>
              <w:t>出入境口岸、时间</w:t>
            </w:r>
          </w:p>
        </w:tc>
      </w:tr>
      <w:tr w:rsidR="004C1863" w14:paraId="170B6E19" w14:textId="77777777" w:rsidTr="00E7455D">
        <w:tc>
          <w:tcPr>
            <w:tcW w:w="1242" w:type="dxa"/>
            <w:vMerge/>
          </w:tcPr>
          <w:p w14:paraId="527778BB" w14:textId="77777777" w:rsidR="004C1863" w:rsidRDefault="004C1863"/>
        </w:tc>
        <w:tc>
          <w:tcPr>
            <w:tcW w:w="2268" w:type="dxa"/>
            <w:gridSpan w:val="3"/>
          </w:tcPr>
          <w:p w14:paraId="0994CBB7" w14:textId="77777777" w:rsidR="004C1863" w:rsidRDefault="00000000">
            <w:r>
              <w:rPr>
                <w:rFonts w:hint="eastAsia"/>
              </w:rPr>
              <w:t>汕头</w:t>
            </w:r>
            <w:r>
              <w:t>大学</w:t>
            </w:r>
            <w:r>
              <w:rPr>
                <w:rFonts w:hint="eastAsia"/>
              </w:rPr>
              <w:t xml:space="preserve"> </w:t>
            </w:r>
            <w:r>
              <w:rPr>
                <w:rFonts w:hint="eastAsia"/>
              </w:rPr>
              <w:t>甘永涛</w:t>
            </w:r>
            <w:r>
              <w:rPr>
                <w:rFonts w:hint="eastAsia"/>
                <w:color w:val="FF0000"/>
              </w:rPr>
              <w:t xml:space="preserve"> 3</w:t>
            </w:r>
            <w:r>
              <w:rPr>
                <w:rFonts w:hint="eastAsia"/>
              </w:rPr>
              <w:t>人</w:t>
            </w:r>
            <w:r>
              <w:rPr>
                <w:rFonts w:hint="eastAsia"/>
              </w:rPr>
              <w:t xml:space="preserve"> </w:t>
            </w:r>
            <w:r>
              <w:rPr>
                <w:rFonts w:hint="eastAsia"/>
              </w:rPr>
              <w:t>赴</w:t>
            </w:r>
            <w:r>
              <w:rPr>
                <w:rFonts w:hint="eastAsia"/>
                <w:color w:val="FF0000"/>
              </w:rPr>
              <w:t xml:space="preserve"> </w:t>
            </w:r>
            <w:r>
              <w:rPr>
                <w:rFonts w:hint="eastAsia"/>
                <w:color w:val="FF0000"/>
              </w:rPr>
              <w:t>马来西亚</w:t>
            </w:r>
            <w:r>
              <w:rPr>
                <w:rFonts w:hint="eastAsia"/>
                <w:color w:val="FF0000"/>
              </w:rPr>
              <w:t xml:space="preserve"> </w:t>
            </w:r>
            <w:r>
              <w:rPr>
                <w:rFonts w:hint="eastAsia"/>
              </w:rPr>
              <w:t>团组</w:t>
            </w:r>
          </w:p>
        </w:tc>
        <w:tc>
          <w:tcPr>
            <w:tcW w:w="1560" w:type="dxa"/>
            <w:gridSpan w:val="2"/>
          </w:tcPr>
          <w:p w14:paraId="7F875016" w14:textId="77777777" w:rsidR="004C1863" w:rsidRDefault="00000000">
            <w:r>
              <w:rPr>
                <w:rFonts w:hint="eastAsia"/>
              </w:rPr>
              <w:t>甘永涛、赵彬、黄欢</w:t>
            </w:r>
          </w:p>
        </w:tc>
        <w:tc>
          <w:tcPr>
            <w:tcW w:w="3452" w:type="dxa"/>
            <w:gridSpan w:val="3"/>
          </w:tcPr>
          <w:p w14:paraId="1804B9A1" w14:textId="77777777" w:rsidR="004C1863" w:rsidRDefault="00000000">
            <w:r>
              <w:rPr>
                <w:rFonts w:hint="eastAsia"/>
              </w:rPr>
              <w:t>出境：</w:t>
            </w:r>
            <w:r>
              <w:rPr>
                <w:rFonts w:hint="eastAsia"/>
              </w:rPr>
              <w:t>2025</w:t>
            </w:r>
            <w:r>
              <w:rPr>
                <w:rFonts w:hint="eastAsia"/>
              </w:rPr>
              <w:t>年</w:t>
            </w:r>
            <w:r>
              <w:rPr>
                <w:rFonts w:hint="eastAsia"/>
              </w:rPr>
              <w:t>09</w:t>
            </w:r>
            <w:r>
              <w:rPr>
                <w:rFonts w:hint="eastAsia"/>
              </w:rPr>
              <w:t>月</w:t>
            </w:r>
            <w:r>
              <w:rPr>
                <w:rFonts w:hint="eastAsia"/>
              </w:rPr>
              <w:t>16</w:t>
            </w:r>
            <w:r>
              <w:rPr>
                <w:rFonts w:hint="eastAsia"/>
              </w:rPr>
              <w:t>日</w:t>
            </w:r>
            <w:r>
              <w:rPr>
                <w:rFonts w:hint="eastAsia"/>
              </w:rPr>
              <w:t xml:space="preserve"> </w:t>
            </w:r>
            <w:r>
              <w:rPr>
                <w:rFonts w:hint="eastAsia"/>
              </w:rPr>
              <w:t>广东广州</w:t>
            </w:r>
          </w:p>
          <w:p w14:paraId="3AC4577F" w14:textId="77777777" w:rsidR="004C1863" w:rsidRDefault="00000000">
            <w:r>
              <w:rPr>
                <w:rFonts w:hint="eastAsia"/>
              </w:rPr>
              <w:t>入境：</w:t>
            </w:r>
            <w:r>
              <w:rPr>
                <w:rFonts w:hint="eastAsia"/>
              </w:rPr>
              <w:t>2025</w:t>
            </w:r>
            <w:r>
              <w:rPr>
                <w:rFonts w:hint="eastAsia"/>
              </w:rPr>
              <w:t>年</w:t>
            </w:r>
            <w:r>
              <w:rPr>
                <w:rFonts w:hint="eastAsia"/>
              </w:rPr>
              <w:t>09</w:t>
            </w:r>
            <w:r>
              <w:rPr>
                <w:rFonts w:hint="eastAsia"/>
              </w:rPr>
              <w:t>月</w:t>
            </w:r>
            <w:r>
              <w:rPr>
                <w:rFonts w:hint="eastAsia"/>
              </w:rPr>
              <w:t>19</w:t>
            </w:r>
            <w:r>
              <w:rPr>
                <w:rFonts w:hint="eastAsia"/>
              </w:rPr>
              <w:t>日</w:t>
            </w:r>
            <w:r>
              <w:rPr>
                <w:rFonts w:hint="eastAsia"/>
              </w:rPr>
              <w:t xml:space="preserve"> </w:t>
            </w:r>
            <w:r>
              <w:rPr>
                <w:rFonts w:hint="eastAsia"/>
              </w:rPr>
              <w:t>广东揭阳</w:t>
            </w:r>
          </w:p>
        </w:tc>
      </w:tr>
      <w:tr w:rsidR="004C1863" w14:paraId="2ABA06E3" w14:textId="77777777">
        <w:trPr>
          <w:trHeight w:val="6853"/>
        </w:trPr>
        <w:tc>
          <w:tcPr>
            <w:tcW w:w="8522" w:type="dxa"/>
            <w:gridSpan w:val="9"/>
          </w:tcPr>
          <w:p w14:paraId="39A95CCF" w14:textId="77777777" w:rsidR="004C1863" w:rsidRDefault="00000000">
            <w:pPr>
              <w:numPr>
                <w:ilvl w:val="0"/>
                <w:numId w:val="1"/>
              </w:numPr>
              <w:rPr>
                <w:rFonts w:ascii="仿宋_GB2312" w:eastAsia="仿宋_GB2312"/>
                <w:sz w:val="24"/>
              </w:rPr>
            </w:pPr>
            <w:r>
              <w:rPr>
                <w:rFonts w:ascii="仿宋_GB2312" w:eastAsia="仿宋_GB2312" w:hAnsi="微软雅黑" w:hint="eastAsia"/>
                <w:color w:val="333333"/>
                <w:sz w:val="24"/>
                <w:shd w:val="clear" w:color="auto" w:fill="FFFFFF"/>
              </w:rPr>
              <w:t>经费使用情况</w:t>
            </w:r>
          </w:p>
          <w:p w14:paraId="4C543F34" w14:textId="77777777" w:rsidR="004C1863" w:rsidRDefault="00000000">
            <w:pPr>
              <w:rPr>
                <w:rFonts w:ascii="仿宋_GB2312" w:eastAsia="仿宋_GB2312" w:hAnsi="微软雅黑" w:hint="eastAsia"/>
                <w:color w:val="333333"/>
                <w:sz w:val="24"/>
                <w:shd w:val="clear" w:color="auto" w:fill="FFFFFF"/>
              </w:rPr>
            </w:pPr>
            <w:r>
              <w:rPr>
                <w:rFonts w:ascii="仿宋_GB2312" w:eastAsia="仿宋_GB2312" w:hAnsi="微软雅黑" w:hint="eastAsia"/>
                <w:color w:val="333333"/>
                <w:sz w:val="24"/>
                <w:shd w:val="clear" w:color="auto" w:fill="FFFFFF"/>
              </w:rPr>
              <w:t>本次出访实际需报销的费用约 24,000元，在“揭榜挂帅”专项 110-18125125(甘永涛;赵彬)；汕头大学科研启动经费项目100-09424037(黄欢)项目中开支。</w:t>
            </w:r>
          </w:p>
          <w:p w14:paraId="53B22DC5" w14:textId="77777777" w:rsidR="004C1863" w:rsidRDefault="00000000">
            <w:pPr>
              <w:numPr>
                <w:ilvl w:val="0"/>
                <w:numId w:val="1"/>
              </w:numPr>
              <w:rPr>
                <w:rFonts w:ascii="仿宋_GB2312" w:eastAsia="仿宋_GB2312" w:hAnsi="微软雅黑" w:hint="eastAsia"/>
                <w:color w:val="333333"/>
                <w:sz w:val="24"/>
                <w:shd w:val="clear" w:color="auto" w:fill="FFFFFF"/>
              </w:rPr>
            </w:pPr>
            <w:r>
              <w:rPr>
                <w:rFonts w:ascii="仿宋_GB2312" w:eastAsia="仿宋_GB2312" w:hAnsi="微软雅黑" w:hint="eastAsia"/>
                <w:color w:val="333333"/>
                <w:sz w:val="24"/>
                <w:shd w:val="clear" w:color="auto" w:fill="FFFFFF"/>
              </w:rPr>
              <w:t xml:space="preserve">因公出访期间是否遵守严格执行中央八项规定 </w:t>
            </w:r>
            <w:r>
              <w:rPr>
                <w:rFonts w:ascii="仿宋_GB2312" w:eastAsia="仿宋_GB2312" w:hAnsi="微软雅黑"/>
                <w:color w:val="333333"/>
                <w:sz w:val="24"/>
                <w:shd w:val="clear" w:color="auto" w:fill="FFFFFF"/>
              </w:rPr>
              <w:t xml:space="preserve"> </w:t>
            </w:r>
            <w:r>
              <w:rPr>
                <w:rFonts w:ascii="Arial" w:eastAsia="仿宋_GB2312" w:hAnsi="Arial" w:cs="Arial"/>
                <w:color w:val="333333"/>
                <w:sz w:val="24"/>
                <w:shd w:val="clear" w:color="auto" w:fill="FFFFFF"/>
              </w:rPr>
              <w:t>√</w:t>
            </w:r>
            <w:r>
              <w:rPr>
                <w:rFonts w:ascii="仿宋_GB2312" w:eastAsia="仿宋_GB2312" w:hAnsi="微软雅黑" w:hint="eastAsia"/>
                <w:color w:val="333333"/>
                <w:sz w:val="24"/>
                <w:shd w:val="clear" w:color="auto" w:fill="FFFFFF"/>
              </w:rPr>
              <w:t xml:space="preserve">口 是 </w:t>
            </w:r>
            <w:r>
              <w:rPr>
                <w:rFonts w:ascii="仿宋_GB2312" w:eastAsia="仿宋_GB2312" w:hAnsi="微软雅黑"/>
                <w:color w:val="333333"/>
                <w:sz w:val="24"/>
                <w:shd w:val="clear" w:color="auto" w:fill="FFFFFF"/>
              </w:rPr>
              <w:t xml:space="preserve"> </w:t>
            </w:r>
            <w:r>
              <w:rPr>
                <w:rFonts w:ascii="仿宋_GB2312" w:eastAsia="仿宋_GB2312" w:hAnsi="微软雅黑" w:hint="eastAsia"/>
                <w:color w:val="333333"/>
                <w:sz w:val="24"/>
                <w:shd w:val="clear" w:color="auto" w:fill="FFFFFF"/>
              </w:rPr>
              <w:t xml:space="preserve">口 </w:t>
            </w:r>
            <w:r>
              <w:rPr>
                <w:rFonts w:ascii="仿宋_GB2312" w:eastAsia="仿宋_GB2312" w:hAnsi="微软雅黑"/>
                <w:color w:val="333333"/>
                <w:sz w:val="24"/>
                <w:shd w:val="clear" w:color="auto" w:fill="FFFFFF"/>
              </w:rPr>
              <w:t xml:space="preserve"> </w:t>
            </w:r>
            <w:r>
              <w:rPr>
                <w:rFonts w:ascii="仿宋_GB2312" w:eastAsia="仿宋_GB2312" w:hAnsi="微软雅黑" w:hint="eastAsia"/>
                <w:color w:val="333333"/>
                <w:sz w:val="24"/>
                <w:shd w:val="clear" w:color="auto" w:fill="FFFFFF"/>
              </w:rPr>
              <w:t>否</w:t>
            </w:r>
          </w:p>
          <w:p w14:paraId="5AF578EF" w14:textId="77777777" w:rsidR="004C1863" w:rsidRDefault="00000000">
            <w:pPr>
              <w:rPr>
                <w:rFonts w:ascii="仿宋_GB2312" w:eastAsia="仿宋_GB2312" w:hAnsi="微软雅黑" w:hint="eastAsia"/>
                <w:color w:val="333333"/>
                <w:sz w:val="24"/>
                <w:shd w:val="clear" w:color="auto" w:fill="FFFFFF"/>
              </w:rPr>
            </w:pPr>
            <w:r>
              <w:rPr>
                <w:rFonts w:ascii="仿宋_GB2312" w:eastAsia="仿宋_GB2312" w:hAnsi="微软雅黑"/>
                <w:color w:val="333333"/>
                <w:sz w:val="24"/>
                <w:shd w:val="clear" w:color="auto" w:fill="FFFFFF"/>
              </w:rPr>
              <w:t xml:space="preserve">    </w:t>
            </w:r>
            <w:r>
              <w:rPr>
                <w:rFonts w:ascii="仿宋_GB2312" w:eastAsia="仿宋_GB2312" w:hAnsi="微软雅黑" w:hint="eastAsia"/>
                <w:color w:val="333333"/>
                <w:sz w:val="24"/>
                <w:shd w:val="clear" w:color="auto" w:fill="FFFFFF"/>
              </w:rPr>
              <w:t>如有特殊情况，请在此列出：无</w:t>
            </w:r>
          </w:p>
          <w:p w14:paraId="79DEDEB7" w14:textId="77777777" w:rsidR="004C1863" w:rsidRDefault="00000000">
            <w:pPr>
              <w:rPr>
                <w:rFonts w:ascii="仿宋_GB2312" w:eastAsia="仿宋_GB2312"/>
                <w:sz w:val="24"/>
              </w:rPr>
            </w:pPr>
            <w:r>
              <w:rPr>
                <w:rFonts w:ascii="仿宋_GB2312" w:eastAsia="仿宋_GB2312" w:hAnsi="微软雅黑" w:hint="eastAsia"/>
                <w:color w:val="333333"/>
                <w:sz w:val="24"/>
                <w:shd w:val="clear" w:color="auto" w:fill="FFFFFF"/>
              </w:rPr>
              <w:t>3、出访报告（</w:t>
            </w:r>
            <w:r>
              <w:rPr>
                <w:rFonts w:ascii="仿宋_GB2312" w:eastAsia="仿宋_GB2312" w:hint="eastAsia"/>
                <w:sz w:val="24"/>
              </w:rPr>
              <w:t>出访成效，包括活动内容，成果、感想、建议</w:t>
            </w:r>
            <w:r>
              <w:rPr>
                <w:rFonts w:ascii="仿宋_GB2312" w:eastAsia="仿宋_GB2312" w:hAnsi="微软雅黑" w:hint="eastAsia"/>
                <w:color w:val="333333"/>
                <w:sz w:val="24"/>
                <w:shd w:val="clear" w:color="auto" w:fill="FFFFFF"/>
              </w:rPr>
              <w:t>）</w:t>
            </w:r>
          </w:p>
          <w:p w14:paraId="7350852E" w14:textId="77777777" w:rsidR="004C1863" w:rsidRDefault="00000000">
            <w:pPr>
              <w:rPr>
                <w:rFonts w:ascii="仿宋_GB2312" w:eastAsia="仿宋_GB2312"/>
                <w:b/>
                <w:bCs/>
              </w:rPr>
            </w:pPr>
            <w:r>
              <w:rPr>
                <w:rFonts w:ascii="仿宋_GB2312" w:eastAsia="仿宋_GB2312" w:hint="eastAsia"/>
              </w:rPr>
              <w:t xml:space="preserve"> </w:t>
            </w:r>
            <w:r>
              <w:rPr>
                <w:rFonts w:ascii="仿宋_GB2312" w:eastAsia="仿宋_GB2312" w:hint="eastAsia"/>
                <w:b/>
                <w:bCs/>
              </w:rPr>
              <w:t>一、出访背景</w:t>
            </w:r>
          </w:p>
          <w:p w14:paraId="01E7C05B" w14:textId="77777777" w:rsidR="004C1863" w:rsidRDefault="00000000">
            <w:pPr>
              <w:rPr>
                <w:rFonts w:ascii="仿宋_GB2312" w:eastAsia="仿宋_GB2312"/>
              </w:rPr>
            </w:pPr>
            <w:r>
              <w:rPr>
                <w:rFonts w:ascii="仿宋_GB2312" w:eastAsia="仿宋_GB2312" w:hint="eastAsia"/>
              </w:rPr>
              <w:t>应第十五届东南亚华文教学研讨会组委会邀请，汕头大学三人代表团（以下简称“代表团”）于2025年9月16日至9月19日赴马来西亚雪兰莪州加影市新纪元大学学院参加了此次学术盛会。本次出访旨在加强我校与东南亚地区华文教育界的交流与合作，展示我校在相关领域的研究成果，并学习借鉴海外先进的教学理念与实践经验。</w:t>
            </w:r>
          </w:p>
          <w:p w14:paraId="1E2656D9" w14:textId="77777777" w:rsidR="004C1863" w:rsidRDefault="00000000">
            <w:pPr>
              <w:rPr>
                <w:rFonts w:ascii="仿宋_GB2312" w:eastAsia="仿宋_GB2312"/>
                <w:b/>
                <w:bCs/>
              </w:rPr>
            </w:pPr>
            <w:r>
              <w:rPr>
                <w:rFonts w:ascii="仿宋_GB2312" w:eastAsia="仿宋_GB2312" w:hint="eastAsia"/>
              </w:rPr>
              <w:t xml:space="preserve"> </w:t>
            </w:r>
            <w:r>
              <w:rPr>
                <w:rFonts w:ascii="仿宋_GB2312" w:eastAsia="仿宋_GB2312" w:hint="eastAsia"/>
                <w:b/>
                <w:bCs/>
              </w:rPr>
              <w:t>二、活动内容</w:t>
            </w:r>
          </w:p>
          <w:p w14:paraId="08D89E14" w14:textId="77777777" w:rsidR="004C1863" w:rsidRDefault="00000000">
            <w:pPr>
              <w:rPr>
                <w:rFonts w:ascii="仿宋_GB2312" w:eastAsia="仿宋_GB2312"/>
              </w:rPr>
            </w:pPr>
            <w:r>
              <w:rPr>
                <w:rFonts w:ascii="仿宋_GB2312" w:eastAsia="仿宋_GB2312" w:hint="eastAsia"/>
              </w:rPr>
              <w:t xml:space="preserve"> （一）参会与报到</w:t>
            </w:r>
          </w:p>
          <w:p w14:paraId="5C0C5AD9" w14:textId="77777777" w:rsidR="004C1863" w:rsidRDefault="00000000">
            <w:pPr>
              <w:rPr>
                <w:rFonts w:ascii="仿宋_GB2312" w:eastAsia="仿宋_GB2312"/>
              </w:rPr>
            </w:pPr>
            <w:r>
              <w:rPr>
                <w:rFonts w:ascii="仿宋_GB2312" w:eastAsia="仿宋_GB2312" w:hint="eastAsia"/>
              </w:rPr>
              <w:t>代表团严格遵守会议安排，于9月16日抵达马来西亚，并顺利在指定地点（雪兰莪万宜 Bangi Resort Hotel）完成报到。随后，按照组委会指引，于9月17日准时在雪兰莪加影新纪元大学学院南大楼参加研讨会。</w:t>
            </w:r>
          </w:p>
          <w:p w14:paraId="70E91AD0" w14:textId="77777777" w:rsidR="004C1863" w:rsidRDefault="00000000">
            <w:pPr>
              <w:rPr>
                <w:rFonts w:ascii="仿宋_GB2312" w:eastAsia="仿宋_GB2312"/>
              </w:rPr>
            </w:pPr>
            <w:r>
              <w:rPr>
                <w:rFonts w:ascii="仿宋_GB2312" w:eastAsia="仿宋_GB2312" w:hint="eastAsia"/>
              </w:rPr>
              <w:t xml:space="preserve"> （二）论文发表与学术交流</w:t>
            </w:r>
          </w:p>
          <w:p w14:paraId="1E0C0617" w14:textId="77777777" w:rsidR="004C1863" w:rsidRDefault="00000000">
            <w:pPr>
              <w:rPr>
                <w:rFonts w:ascii="仿宋_GB2312" w:eastAsia="仿宋_GB2312"/>
              </w:rPr>
            </w:pPr>
            <w:r>
              <w:rPr>
                <w:rFonts w:ascii="仿宋_GB2312" w:eastAsia="仿宋_GB2312" w:hint="eastAsia"/>
              </w:rPr>
              <w:t>根据会议安排，我校代表团成员进行了高质量的学术发表。会前，代表团已按照组委会要求，于8月15日前提交了完整的论文全文，并在9月10日前提交了用于现场发表的PPT材料。在研讨会上，我校代表围绕《马来西亚华小学生规模的空间分异演化及其集聚效应》进行了时长为15-20分钟的精彩报告，分享了我校在东南亚华文教育方面的最新研究成果与实践经验。</w:t>
            </w:r>
          </w:p>
          <w:p w14:paraId="4A50454C" w14:textId="77777777" w:rsidR="004C1863" w:rsidRDefault="00000000">
            <w:pPr>
              <w:rPr>
                <w:rFonts w:ascii="仿宋_GB2312" w:eastAsia="仿宋_GB2312"/>
              </w:rPr>
            </w:pPr>
            <w:r>
              <w:rPr>
                <w:rFonts w:ascii="仿宋_GB2312" w:eastAsia="仿宋_GB2312" w:hint="eastAsia"/>
              </w:rPr>
              <w:t>报告引起了与会者的广泛关注和热烈讨论。来自东南亚各国的专家学者、一线教师就报告内容与我校代表进行了深入交流，探讨了在东南亚华文教育空间分布与集聚效应方面的合作可能性。</w:t>
            </w:r>
          </w:p>
          <w:p w14:paraId="47C48DDD" w14:textId="77777777" w:rsidR="004C1863" w:rsidRDefault="00000000">
            <w:pPr>
              <w:rPr>
                <w:rFonts w:ascii="仿宋_GB2312" w:eastAsia="仿宋_GB2312"/>
              </w:rPr>
            </w:pPr>
            <w:r>
              <w:rPr>
                <w:rFonts w:ascii="仿宋_GB2312" w:eastAsia="仿宋_GB2312" w:hint="eastAsia"/>
              </w:rPr>
              <w:t xml:space="preserve"> （三）参与研讨与专题讨论</w:t>
            </w:r>
          </w:p>
          <w:p w14:paraId="384F766C" w14:textId="77777777" w:rsidR="004C1863" w:rsidRDefault="00000000">
            <w:pPr>
              <w:rPr>
                <w:rFonts w:ascii="仿宋_GB2312" w:eastAsia="仿宋_GB2312"/>
              </w:rPr>
            </w:pPr>
            <w:r>
              <w:rPr>
                <w:rFonts w:ascii="仿宋_GB2312" w:eastAsia="仿宋_GB2312" w:hint="eastAsia"/>
              </w:rPr>
              <w:t>除了论文发表，代表团全程积极参与了研讨会各环节，包括主题报告、分组讨论、工作坊等。通过聆听海内外知名学者的主旨演讲，代表团深入了解了当前东南亚华文教学领域的前沿动态、热点问题及未来发展趋势。在分组讨论中，我校代表与其他参会者就“东南亚华文学校学生的时空分布”分享了各自的观点和经验，拓宽了学术视野。</w:t>
            </w:r>
          </w:p>
          <w:p w14:paraId="3CBAE528" w14:textId="77777777" w:rsidR="004C1863" w:rsidRDefault="00000000">
            <w:pPr>
              <w:rPr>
                <w:rFonts w:ascii="仿宋_GB2312" w:eastAsia="仿宋_GB2312"/>
                <w:b/>
                <w:bCs/>
              </w:rPr>
            </w:pPr>
            <w:r>
              <w:rPr>
                <w:rFonts w:ascii="仿宋_GB2312" w:eastAsia="仿宋_GB2312" w:hint="eastAsia"/>
              </w:rPr>
              <w:t xml:space="preserve"> </w:t>
            </w:r>
            <w:r>
              <w:rPr>
                <w:rFonts w:ascii="仿宋_GB2312" w:eastAsia="仿宋_GB2312" w:hint="eastAsia"/>
                <w:b/>
                <w:bCs/>
              </w:rPr>
              <w:t>三、出访成果</w:t>
            </w:r>
          </w:p>
          <w:p w14:paraId="274E23BC" w14:textId="77777777" w:rsidR="004C1863" w:rsidRDefault="00000000">
            <w:pPr>
              <w:rPr>
                <w:rFonts w:ascii="仿宋_GB2312" w:eastAsia="仿宋_GB2312"/>
              </w:rPr>
            </w:pPr>
            <w:r>
              <w:rPr>
                <w:rFonts w:ascii="仿宋_GB2312" w:eastAsia="仿宋_GB2312" w:hint="eastAsia"/>
              </w:rPr>
              <w:t xml:space="preserve"> （一）学术成果展示与认可</w:t>
            </w:r>
          </w:p>
          <w:p w14:paraId="7C5CE5BD" w14:textId="0FF25AB4" w:rsidR="004C1863" w:rsidRDefault="00000000">
            <w:pPr>
              <w:rPr>
                <w:rFonts w:ascii="仿宋_GB2312" w:eastAsia="仿宋_GB2312"/>
              </w:rPr>
            </w:pPr>
            <w:r>
              <w:rPr>
                <w:rFonts w:ascii="仿宋_GB2312" w:eastAsia="仿宋_GB2312" w:hint="eastAsia"/>
              </w:rPr>
              <w:t>通过此次出访，汕头大学在国际学术舞台上成功展示了其在华文教育及相关领域的研究实力。我校代表团的论文发表内容详实、观点新颖，得到了与会专家学者的高度评价，有效提升了我校在东南亚华文教育界的知名度和学术声誉。</w:t>
            </w:r>
          </w:p>
          <w:p w14:paraId="7327E129" w14:textId="77777777" w:rsidR="004C1863" w:rsidRDefault="00000000">
            <w:pPr>
              <w:rPr>
                <w:rFonts w:ascii="仿宋_GB2312" w:eastAsia="仿宋_GB2312"/>
              </w:rPr>
            </w:pPr>
            <w:r>
              <w:rPr>
                <w:rFonts w:ascii="仿宋_GB2312" w:eastAsia="仿宋_GB2312" w:hint="eastAsia"/>
              </w:rPr>
              <w:t xml:space="preserve"> （二）建立与巩固合作网络</w:t>
            </w:r>
          </w:p>
          <w:p w14:paraId="3A1D5D5D" w14:textId="77777777" w:rsidR="004C1863" w:rsidRDefault="00000000">
            <w:pPr>
              <w:rPr>
                <w:rFonts w:ascii="仿宋_GB2312" w:eastAsia="仿宋_GB2312"/>
              </w:rPr>
            </w:pPr>
            <w:r>
              <w:rPr>
                <w:rFonts w:ascii="仿宋_GB2312" w:eastAsia="仿宋_GB2312" w:hint="eastAsia"/>
              </w:rPr>
              <w:lastRenderedPageBreak/>
              <w:t>研讨会为汕头大学与东南亚各国的高校、教育机构及专家学者搭建了宝贵的交流平台。出访期间，代表团与马来西亚、新加坡、泰国、菲律宾等国的多所院校代表进行了友好会晤，探讨了在师生互访、联合研究、学术资源共享等方面的合作意向，初步建立了多个合作渠道，为未来开展实质性的国际交流与合作项目奠定了坚实基础。</w:t>
            </w:r>
          </w:p>
          <w:p w14:paraId="17A2A4E2" w14:textId="77777777" w:rsidR="004C1863" w:rsidRDefault="00000000">
            <w:pPr>
              <w:rPr>
                <w:rFonts w:ascii="仿宋_GB2312" w:eastAsia="仿宋_GB2312"/>
              </w:rPr>
            </w:pPr>
            <w:r>
              <w:rPr>
                <w:rFonts w:ascii="仿宋_GB2312" w:eastAsia="仿宋_GB2312" w:hint="eastAsia"/>
              </w:rPr>
              <w:t xml:space="preserve"> （三）汲取先进经验与理念</w:t>
            </w:r>
          </w:p>
          <w:p w14:paraId="18496796" w14:textId="77777777" w:rsidR="004C1863" w:rsidRDefault="00000000">
            <w:pPr>
              <w:rPr>
                <w:rFonts w:ascii="仿宋_GB2312" w:eastAsia="仿宋_GB2312"/>
              </w:rPr>
            </w:pPr>
            <w:r>
              <w:rPr>
                <w:rFonts w:ascii="仿宋_GB2312" w:eastAsia="仿宋_GB2312" w:hint="eastAsia"/>
              </w:rPr>
              <w:t>通过深入参与会议的各项学术活动，代表团系统了解了东南亚地区华文教学在课程设置、教学方法、技术应用、师资培训等方面的创新做法和成功经验。这些宝贵的经验将为汕头大学进一步优化自身的华文教学体系、提升教学质量提供重要参考和借鉴。</w:t>
            </w:r>
          </w:p>
          <w:p w14:paraId="138F372A" w14:textId="77777777" w:rsidR="004C1863" w:rsidRDefault="00000000">
            <w:pPr>
              <w:rPr>
                <w:rFonts w:ascii="仿宋_GB2312" w:eastAsia="仿宋_GB2312"/>
              </w:rPr>
            </w:pPr>
            <w:r>
              <w:rPr>
                <w:rFonts w:ascii="仿宋_GB2312" w:eastAsia="仿宋_GB2312" w:hint="eastAsia"/>
              </w:rPr>
              <w:t xml:space="preserve"> （四）开拓国际视野</w:t>
            </w:r>
          </w:p>
          <w:p w14:paraId="15F26568" w14:textId="77777777" w:rsidR="004C1863" w:rsidRDefault="00000000">
            <w:pPr>
              <w:rPr>
                <w:rFonts w:ascii="仿宋_GB2312" w:eastAsia="仿宋_GB2312"/>
              </w:rPr>
            </w:pPr>
            <w:r>
              <w:rPr>
                <w:rFonts w:ascii="仿宋_GB2312" w:eastAsia="仿宋_GB2312" w:hint="eastAsia"/>
              </w:rPr>
              <w:t>此次出访让代表团成员亲身感受到了国际学术交流的氛围，增进了对不同文化背景下华文教育实践的理解。这不仅有助于提升我校教师的国际化教学与科研能力，也为未来引导学生参与国际交流、培养具有全球视野的人才积累了宝贵经验。</w:t>
            </w:r>
          </w:p>
          <w:p w14:paraId="52DB4D0C" w14:textId="77777777" w:rsidR="004C1863" w:rsidRDefault="00000000">
            <w:pPr>
              <w:rPr>
                <w:rFonts w:ascii="仿宋_GB2312" w:eastAsia="仿宋_GB2312"/>
                <w:b/>
                <w:bCs/>
              </w:rPr>
            </w:pPr>
            <w:r>
              <w:rPr>
                <w:rFonts w:ascii="仿宋_GB2312" w:eastAsia="仿宋_GB2312" w:hint="eastAsia"/>
              </w:rPr>
              <w:t xml:space="preserve"> </w:t>
            </w:r>
            <w:r>
              <w:rPr>
                <w:rFonts w:ascii="仿宋_GB2312" w:eastAsia="仿宋_GB2312" w:hint="eastAsia"/>
                <w:b/>
                <w:bCs/>
              </w:rPr>
              <w:t>四、出访感想</w:t>
            </w:r>
          </w:p>
          <w:p w14:paraId="0E465795" w14:textId="77777777" w:rsidR="004C1863" w:rsidRDefault="00000000">
            <w:pPr>
              <w:rPr>
                <w:rFonts w:ascii="仿宋_GB2312" w:eastAsia="仿宋_GB2312"/>
              </w:rPr>
            </w:pPr>
            <w:r>
              <w:rPr>
                <w:rFonts w:ascii="仿宋_GB2312" w:eastAsia="仿宋_GB2312" w:hint="eastAsia"/>
              </w:rPr>
              <w:t xml:space="preserve"> （一）深化了对华文教育使命的认识</w:t>
            </w:r>
          </w:p>
          <w:p w14:paraId="2148D7F1" w14:textId="77777777" w:rsidR="004C1863" w:rsidRDefault="00000000">
            <w:pPr>
              <w:rPr>
                <w:rFonts w:ascii="仿宋_GB2312" w:eastAsia="仿宋_GB2312"/>
              </w:rPr>
            </w:pPr>
            <w:r>
              <w:rPr>
                <w:rFonts w:ascii="仿宋_GB2312" w:eastAsia="仿宋_GB2312" w:hint="eastAsia"/>
              </w:rPr>
              <w:t>在多元文化交融的东南亚地区，华文教育不仅是语言技能的传授，更承载着文化传承与身份认同的重要使命。此次研讨会让我校代表深刻认识到，作为高等学府，我们在推动中华文化海外传播、促进文明交流互鉴方面责任重大、使命光荣。</w:t>
            </w:r>
          </w:p>
          <w:p w14:paraId="12F37071" w14:textId="77777777" w:rsidR="004C1863" w:rsidRDefault="00000000">
            <w:pPr>
              <w:rPr>
                <w:rFonts w:ascii="仿宋_GB2312" w:eastAsia="仿宋_GB2312"/>
              </w:rPr>
            </w:pPr>
            <w:r>
              <w:rPr>
                <w:rFonts w:ascii="仿宋_GB2312" w:eastAsia="仿宋_GB2312" w:hint="eastAsia"/>
              </w:rPr>
              <w:t xml:space="preserve"> （二）感受到了海外华教界的热情与努力</w:t>
            </w:r>
          </w:p>
          <w:p w14:paraId="510600CC" w14:textId="77777777" w:rsidR="004C1863" w:rsidRDefault="00000000">
            <w:pPr>
              <w:rPr>
                <w:rFonts w:ascii="仿宋_GB2312" w:eastAsia="仿宋_GB2312"/>
              </w:rPr>
            </w:pPr>
            <w:r>
              <w:rPr>
                <w:rFonts w:ascii="仿宋_GB2312" w:eastAsia="仿宋_GB2312" w:hint="eastAsia"/>
              </w:rPr>
              <w:t>尽管面临着诸多挑战，但海外华文教育工作者展现出的极大热情、坚韧毅力和专业精神令人钦佩。他们在资源有限的条件下，依然坚持探索适合本土学生的教学模式，这种对中华文化的深厚情感和教育初心，值得我们学习和尊敬。</w:t>
            </w:r>
          </w:p>
          <w:p w14:paraId="0CCC0264" w14:textId="77777777" w:rsidR="004C1863" w:rsidRDefault="00000000">
            <w:pPr>
              <w:rPr>
                <w:rFonts w:ascii="仿宋_GB2312" w:eastAsia="仿宋_GB2312"/>
              </w:rPr>
            </w:pPr>
            <w:r>
              <w:rPr>
                <w:rFonts w:ascii="仿宋_GB2312" w:eastAsia="仿宋_GB2312" w:hint="eastAsia"/>
              </w:rPr>
              <w:t xml:space="preserve"> （三）意识到差异与共性并存</w:t>
            </w:r>
          </w:p>
          <w:p w14:paraId="5E5DC01F" w14:textId="77777777" w:rsidR="004C1863" w:rsidRDefault="00000000">
            <w:pPr>
              <w:rPr>
                <w:rFonts w:ascii="仿宋_GB2312" w:eastAsia="仿宋_GB2312"/>
              </w:rPr>
            </w:pPr>
            <w:r>
              <w:rPr>
                <w:rFonts w:ascii="仿宋_GB2312" w:eastAsia="仿宋_GB2312" w:hint="eastAsia"/>
              </w:rPr>
              <w:t>各国华文教学因历史、政策、社会环境的不同而呈现出鲜明的特色，但在追求教学高效、激发学生兴趣、融入现代科技等方面，大家面临着许多共性问题。这提示我们，未来的合作与交流既要尊重差异，也要聚焦于共同关切，以实现优势互补、协同发展。</w:t>
            </w:r>
          </w:p>
          <w:p w14:paraId="34266957" w14:textId="77777777" w:rsidR="004C1863" w:rsidRDefault="00000000">
            <w:pPr>
              <w:rPr>
                <w:rFonts w:ascii="仿宋_GB2312" w:eastAsia="仿宋_GB2312"/>
                <w:b/>
                <w:bCs/>
              </w:rPr>
            </w:pPr>
            <w:r>
              <w:rPr>
                <w:rFonts w:ascii="仿宋_GB2312" w:eastAsia="仿宋_GB2312" w:hint="eastAsia"/>
              </w:rPr>
              <w:t xml:space="preserve"> </w:t>
            </w:r>
            <w:r>
              <w:rPr>
                <w:rFonts w:ascii="仿宋_GB2312" w:eastAsia="仿宋_GB2312" w:hint="eastAsia"/>
                <w:b/>
                <w:bCs/>
              </w:rPr>
              <w:t>五、建议</w:t>
            </w:r>
          </w:p>
          <w:p w14:paraId="2ED2D24A" w14:textId="77777777" w:rsidR="004C1863" w:rsidRDefault="00000000">
            <w:pPr>
              <w:rPr>
                <w:rFonts w:ascii="仿宋_GB2312" w:eastAsia="仿宋_GB2312"/>
              </w:rPr>
            </w:pPr>
            <w:r>
              <w:rPr>
                <w:rFonts w:ascii="仿宋_GB2312" w:eastAsia="仿宋_GB2312" w:hint="eastAsia"/>
              </w:rPr>
              <w:t xml:space="preserve"> （一）加强后续交流与合作</w:t>
            </w:r>
          </w:p>
          <w:p w14:paraId="173F39C5" w14:textId="77777777" w:rsidR="004C1863" w:rsidRDefault="00000000">
            <w:pPr>
              <w:rPr>
                <w:rFonts w:ascii="仿宋_GB2312" w:eastAsia="仿宋_GB2312"/>
              </w:rPr>
            </w:pPr>
            <w:r>
              <w:rPr>
                <w:rFonts w:ascii="仿宋_GB2312" w:eastAsia="仿宋_GB2312" w:hint="eastAsia"/>
              </w:rPr>
              <w:t>建议学校将此次出访建立的联系网络进行系统梳理，制定具体的跟进计划。可以通过签署合作备忘录、开展线上学术沙龙、联合申报国际课题等方式，将初步的合作意向转化为实质性的交流项目，形成长效机制。</w:t>
            </w:r>
          </w:p>
          <w:p w14:paraId="777D9FB0" w14:textId="77777777" w:rsidR="004C1863" w:rsidRDefault="00000000">
            <w:pPr>
              <w:rPr>
                <w:rFonts w:ascii="仿宋_GB2312" w:eastAsia="仿宋_GB2312"/>
              </w:rPr>
            </w:pPr>
            <w:r>
              <w:rPr>
                <w:rFonts w:ascii="仿宋_GB2312" w:eastAsia="仿宋_GB2312" w:hint="eastAsia"/>
              </w:rPr>
              <w:t xml:space="preserve"> （二）推动研究成果转化与共享</w:t>
            </w:r>
          </w:p>
          <w:p w14:paraId="1FE72E6B" w14:textId="77777777" w:rsidR="004C1863" w:rsidRDefault="00000000">
            <w:pPr>
              <w:rPr>
                <w:rFonts w:ascii="仿宋_GB2312" w:eastAsia="仿宋_GB2312"/>
              </w:rPr>
            </w:pPr>
            <w:r>
              <w:rPr>
                <w:rFonts w:ascii="仿宋_GB2312" w:eastAsia="仿宋_GB2312" w:hint="eastAsia"/>
              </w:rPr>
              <w:t>鼓励此次出访的教师将会议上的新观点、新方法与自身的教学科研相结合，形成高质量的研究成果。同时，建议在校内举办专题分享会，将出访的收获与更多师生共享，扩大出访的受益面，促进校内华文教学水平的整体提升。</w:t>
            </w:r>
          </w:p>
          <w:p w14:paraId="199B4309" w14:textId="77777777" w:rsidR="004C1863" w:rsidRDefault="00000000">
            <w:pPr>
              <w:rPr>
                <w:rFonts w:ascii="仿宋_GB2312" w:eastAsia="仿宋_GB2312"/>
              </w:rPr>
            </w:pPr>
            <w:r>
              <w:rPr>
                <w:rFonts w:ascii="仿宋_GB2312" w:eastAsia="仿宋_GB2312" w:hint="eastAsia"/>
              </w:rPr>
              <w:t xml:space="preserve"> （三）积极筹备参与下一届研讨会</w:t>
            </w:r>
          </w:p>
          <w:p w14:paraId="053E8D01" w14:textId="77777777" w:rsidR="004C1863" w:rsidRDefault="00000000">
            <w:pPr>
              <w:rPr>
                <w:rFonts w:ascii="仿宋_GB2312" w:eastAsia="仿宋_GB2312"/>
              </w:rPr>
            </w:pPr>
            <w:r>
              <w:rPr>
                <w:rFonts w:ascii="仿宋_GB2312" w:eastAsia="仿宋_GB2312" w:hint="eastAsia"/>
              </w:rPr>
              <w:t>基于本次出访的积极成果，建议学校提前规划，组织团队精心准备，参与下一届东南亚华文教学研讨会。可以设立专项支持，鼓励更多教师和学生积极投稿、参会，持续扩大学校的国际影响力，并争取在下一届会议中承办分论坛或发表主旨演讲，进一步提升我校在国际华文教育领域的话语权。</w:t>
            </w:r>
          </w:p>
          <w:p w14:paraId="5855DB46" w14:textId="6BD81FF3" w:rsidR="004C1863" w:rsidRDefault="00000000">
            <w:pPr>
              <w:rPr>
                <w:rFonts w:ascii="仿宋_GB2312" w:eastAsia="仿宋_GB2312"/>
              </w:rPr>
            </w:pPr>
            <w:r>
              <w:rPr>
                <w:rFonts w:ascii="仿宋_GB2312" w:eastAsia="仿宋_GB2312" w:hint="eastAsia"/>
                <w:b/>
                <w:bCs/>
              </w:rPr>
              <w:t xml:space="preserve"> 六、结语</w:t>
            </w:r>
          </w:p>
          <w:p w14:paraId="2739DF6A" w14:textId="05D23216" w:rsidR="004C1863" w:rsidRDefault="00000000" w:rsidP="00E7455D">
            <w:r>
              <w:rPr>
                <w:rFonts w:ascii="仿宋_GB2312" w:eastAsia="仿宋_GB2312" w:hint="eastAsia"/>
              </w:rPr>
              <w:t>此次汕头大学三人代表团赴马来西亚参加第十五届东南亚华文教学研讨会，行程紧凑、成果丰硕。我们不仅成功展示了学校的学术风采，更在交流中汲取了宝贵经验，在合作中拓展了国际网络。未来，学校将以此访为契机，不断深化与东南亚华文教育界的联系，为推动中华文化的海外传播、促进世界多元文化交流贡献更大的力量。</w:t>
            </w:r>
          </w:p>
        </w:tc>
      </w:tr>
      <w:tr w:rsidR="004C1863" w14:paraId="41F51D88" w14:textId="77777777">
        <w:trPr>
          <w:trHeight w:val="381"/>
        </w:trPr>
        <w:tc>
          <w:tcPr>
            <w:tcW w:w="8522" w:type="dxa"/>
            <w:gridSpan w:val="9"/>
          </w:tcPr>
          <w:p w14:paraId="7CF6B1DF" w14:textId="77777777" w:rsidR="004C1863" w:rsidRDefault="00000000">
            <w:pPr>
              <w:rPr>
                <w:rFonts w:ascii="仿宋_GB2312" w:eastAsia="仿宋_GB2312" w:hAnsi="微软雅黑" w:hint="eastAsia"/>
                <w:color w:val="333333"/>
                <w:sz w:val="24"/>
                <w:shd w:val="clear" w:color="auto" w:fill="FFFFFF"/>
              </w:rPr>
            </w:pPr>
            <w:r>
              <w:rPr>
                <w:rFonts w:hint="eastAsia"/>
              </w:rPr>
              <w:lastRenderedPageBreak/>
              <w:t>出访后续工作落实情况：</w:t>
            </w:r>
          </w:p>
        </w:tc>
      </w:tr>
      <w:tr w:rsidR="004C1863" w14:paraId="3F488817" w14:textId="77777777">
        <w:trPr>
          <w:trHeight w:val="750"/>
        </w:trPr>
        <w:tc>
          <w:tcPr>
            <w:tcW w:w="1305" w:type="dxa"/>
            <w:gridSpan w:val="2"/>
          </w:tcPr>
          <w:p w14:paraId="64C446A7" w14:textId="77777777" w:rsidR="004C1863" w:rsidRDefault="00000000">
            <w:r>
              <w:rPr>
                <w:rFonts w:hint="eastAsia"/>
              </w:rPr>
              <w:t>任务分类</w:t>
            </w:r>
          </w:p>
        </w:tc>
        <w:tc>
          <w:tcPr>
            <w:tcW w:w="1497" w:type="dxa"/>
          </w:tcPr>
          <w:p w14:paraId="4A1A0EBC" w14:textId="77777777" w:rsidR="004C1863" w:rsidRDefault="00000000">
            <w:r>
              <w:rPr>
                <w:rFonts w:hint="eastAsia"/>
              </w:rPr>
              <w:t>任务完成状态</w:t>
            </w:r>
          </w:p>
        </w:tc>
        <w:tc>
          <w:tcPr>
            <w:tcW w:w="1417" w:type="dxa"/>
            <w:gridSpan w:val="2"/>
          </w:tcPr>
          <w:p w14:paraId="0BE0A525" w14:textId="77777777" w:rsidR="004C1863" w:rsidRDefault="00000000">
            <w:pPr>
              <w:widowControl/>
              <w:jc w:val="left"/>
            </w:pPr>
            <w:r>
              <w:rPr>
                <w:rFonts w:hint="eastAsia"/>
              </w:rPr>
              <w:t>达成具体成果</w:t>
            </w:r>
          </w:p>
          <w:p w14:paraId="4A286AE0" w14:textId="77777777" w:rsidR="004C1863" w:rsidRDefault="004C1863"/>
        </w:tc>
        <w:tc>
          <w:tcPr>
            <w:tcW w:w="1559" w:type="dxa"/>
            <w:gridSpan w:val="2"/>
          </w:tcPr>
          <w:p w14:paraId="51980B9F" w14:textId="77777777" w:rsidR="004C1863" w:rsidRDefault="00000000">
            <w:pPr>
              <w:widowControl/>
              <w:jc w:val="left"/>
            </w:pPr>
            <w:r>
              <w:rPr>
                <w:rFonts w:hint="eastAsia"/>
              </w:rPr>
              <w:t>需后续落实事项</w:t>
            </w:r>
          </w:p>
          <w:p w14:paraId="54B413AB" w14:textId="77777777" w:rsidR="004C1863" w:rsidRDefault="004C1863"/>
        </w:tc>
        <w:tc>
          <w:tcPr>
            <w:tcW w:w="1276" w:type="dxa"/>
          </w:tcPr>
          <w:p w14:paraId="020510CA" w14:textId="77777777" w:rsidR="004C1863" w:rsidRDefault="00000000">
            <w:pPr>
              <w:widowControl/>
              <w:jc w:val="left"/>
            </w:pPr>
            <w:r>
              <w:rPr>
                <w:rFonts w:hint="eastAsia"/>
              </w:rPr>
              <w:t>牵头单位</w:t>
            </w:r>
          </w:p>
          <w:p w14:paraId="1879E97C" w14:textId="77777777" w:rsidR="004C1863" w:rsidRDefault="004C1863"/>
        </w:tc>
        <w:tc>
          <w:tcPr>
            <w:tcW w:w="1468" w:type="dxa"/>
          </w:tcPr>
          <w:p w14:paraId="6C920DCF" w14:textId="77777777" w:rsidR="004C1863" w:rsidRDefault="00000000">
            <w:pPr>
              <w:widowControl/>
              <w:jc w:val="left"/>
            </w:pPr>
            <w:r>
              <w:rPr>
                <w:rFonts w:hint="eastAsia"/>
              </w:rPr>
              <w:t>配合单位</w:t>
            </w:r>
          </w:p>
          <w:p w14:paraId="6C352316" w14:textId="77777777" w:rsidR="004C1863" w:rsidRDefault="004C1863"/>
        </w:tc>
      </w:tr>
      <w:tr w:rsidR="004C1863" w14:paraId="78AA8223" w14:textId="77777777">
        <w:trPr>
          <w:trHeight w:val="780"/>
        </w:trPr>
        <w:tc>
          <w:tcPr>
            <w:tcW w:w="1305" w:type="dxa"/>
            <w:gridSpan w:val="2"/>
            <w:vAlign w:val="center"/>
          </w:tcPr>
          <w:p w14:paraId="6F9E443F"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教育研修培训</w:t>
            </w:r>
          </w:p>
        </w:tc>
        <w:tc>
          <w:tcPr>
            <w:tcW w:w="1497" w:type="dxa"/>
            <w:vAlign w:val="center"/>
          </w:tcPr>
          <w:p w14:paraId="29A7F1B5"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未完成</w:t>
            </w:r>
          </w:p>
        </w:tc>
        <w:tc>
          <w:tcPr>
            <w:tcW w:w="1417" w:type="dxa"/>
            <w:gridSpan w:val="2"/>
            <w:vAlign w:val="center"/>
          </w:tcPr>
          <w:p w14:paraId="1273582F"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确定师资培训合作意向</w:t>
            </w:r>
          </w:p>
        </w:tc>
        <w:tc>
          <w:tcPr>
            <w:tcW w:w="1559" w:type="dxa"/>
            <w:gridSpan w:val="2"/>
            <w:vAlign w:val="center"/>
          </w:tcPr>
          <w:p w14:paraId="69049049"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制定师资培训计划和课程安排</w:t>
            </w:r>
          </w:p>
        </w:tc>
        <w:tc>
          <w:tcPr>
            <w:tcW w:w="1276" w:type="dxa"/>
            <w:vAlign w:val="center"/>
          </w:tcPr>
          <w:p w14:paraId="17E1AF2B"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汕头大学</w:t>
            </w:r>
          </w:p>
        </w:tc>
        <w:tc>
          <w:tcPr>
            <w:tcW w:w="1468" w:type="dxa"/>
            <w:vAlign w:val="center"/>
          </w:tcPr>
          <w:p w14:paraId="724A2AA2"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马来西亚地区高校</w:t>
            </w:r>
          </w:p>
        </w:tc>
      </w:tr>
      <w:tr w:rsidR="004C1863" w14:paraId="6E5A2E49" w14:textId="77777777">
        <w:trPr>
          <w:trHeight w:val="780"/>
        </w:trPr>
        <w:tc>
          <w:tcPr>
            <w:tcW w:w="1305" w:type="dxa"/>
            <w:gridSpan w:val="2"/>
            <w:vAlign w:val="center"/>
          </w:tcPr>
          <w:p w14:paraId="75E0EA44"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科技文体交流</w:t>
            </w:r>
          </w:p>
        </w:tc>
        <w:tc>
          <w:tcPr>
            <w:tcW w:w="1497" w:type="dxa"/>
            <w:vAlign w:val="center"/>
          </w:tcPr>
          <w:p w14:paraId="58E24FDB"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未完成，仍需后续推动落实</w:t>
            </w:r>
          </w:p>
        </w:tc>
        <w:tc>
          <w:tcPr>
            <w:tcW w:w="1417" w:type="dxa"/>
            <w:gridSpan w:val="2"/>
            <w:vAlign w:val="center"/>
          </w:tcPr>
          <w:p w14:paraId="33223C6F"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签署科技研发合作意向书</w:t>
            </w:r>
          </w:p>
        </w:tc>
        <w:tc>
          <w:tcPr>
            <w:tcW w:w="1559" w:type="dxa"/>
            <w:gridSpan w:val="2"/>
            <w:vAlign w:val="center"/>
          </w:tcPr>
          <w:p w14:paraId="29804777"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确定合作科研项目，建立交流机制</w:t>
            </w:r>
          </w:p>
        </w:tc>
        <w:tc>
          <w:tcPr>
            <w:tcW w:w="1276" w:type="dxa"/>
            <w:vAlign w:val="center"/>
          </w:tcPr>
          <w:p w14:paraId="51CCF56D"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汕头大学科研机构</w:t>
            </w:r>
          </w:p>
        </w:tc>
        <w:tc>
          <w:tcPr>
            <w:tcW w:w="1468" w:type="dxa"/>
            <w:vAlign w:val="center"/>
          </w:tcPr>
          <w:p w14:paraId="63FE55BE"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马来西亚地区高校科研机构</w:t>
            </w:r>
          </w:p>
        </w:tc>
      </w:tr>
      <w:tr w:rsidR="004C1863" w14:paraId="1DC9F17D" w14:textId="77777777">
        <w:trPr>
          <w:trHeight w:val="780"/>
        </w:trPr>
        <w:tc>
          <w:tcPr>
            <w:tcW w:w="1305" w:type="dxa"/>
            <w:gridSpan w:val="2"/>
            <w:vAlign w:val="center"/>
          </w:tcPr>
          <w:p w14:paraId="6B0141BE"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友好交流访问</w:t>
            </w:r>
          </w:p>
        </w:tc>
        <w:tc>
          <w:tcPr>
            <w:tcW w:w="1497" w:type="dxa"/>
            <w:vAlign w:val="center"/>
          </w:tcPr>
          <w:p w14:paraId="3D5FFDB3"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未完成，仍需后续推动落实</w:t>
            </w:r>
          </w:p>
        </w:tc>
        <w:tc>
          <w:tcPr>
            <w:tcW w:w="1417" w:type="dxa"/>
            <w:gridSpan w:val="2"/>
            <w:vAlign w:val="center"/>
          </w:tcPr>
          <w:p w14:paraId="5CB68943"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确定学生互访意向</w:t>
            </w:r>
          </w:p>
        </w:tc>
        <w:tc>
          <w:tcPr>
            <w:tcW w:w="1559" w:type="dxa"/>
            <w:gridSpan w:val="2"/>
            <w:vAlign w:val="center"/>
          </w:tcPr>
          <w:p w14:paraId="729C2439"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制定学生互访计划，安排交流时间</w:t>
            </w:r>
          </w:p>
        </w:tc>
        <w:tc>
          <w:tcPr>
            <w:tcW w:w="1276" w:type="dxa"/>
            <w:vAlign w:val="center"/>
          </w:tcPr>
          <w:p w14:paraId="24E2F98C"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汕头大学</w:t>
            </w:r>
          </w:p>
        </w:tc>
        <w:tc>
          <w:tcPr>
            <w:tcW w:w="1468" w:type="dxa"/>
            <w:vAlign w:val="center"/>
          </w:tcPr>
          <w:p w14:paraId="3D64736A"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马来西亚地区高校</w:t>
            </w:r>
          </w:p>
        </w:tc>
      </w:tr>
      <w:tr w:rsidR="004C1863" w14:paraId="76551129" w14:textId="77777777">
        <w:trPr>
          <w:trHeight w:val="780"/>
        </w:trPr>
        <w:tc>
          <w:tcPr>
            <w:tcW w:w="1305" w:type="dxa"/>
            <w:gridSpan w:val="2"/>
            <w:vAlign w:val="center"/>
          </w:tcPr>
          <w:p w14:paraId="5D8EEEED"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综合类及其他</w:t>
            </w:r>
          </w:p>
        </w:tc>
        <w:tc>
          <w:tcPr>
            <w:tcW w:w="1497" w:type="dxa"/>
            <w:vAlign w:val="center"/>
          </w:tcPr>
          <w:p w14:paraId="098FF458"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已完成，不需后续推动落实</w:t>
            </w:r>
          </w:p>
        </w:tc>
        <w:tc>
          <w:tcPr>
            <w:tcW w:w="1417" w:type="dxa"/>
            <w:gridSpan w:val="2"/>
            <w:vAlign w:val="center"/>
          </w:tcPr>
          <w:p w14:paraId="09AA741B"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无</w:t>
            </w:r>
          </w:p>
        </w:tc>
        <w:tc>
          <w:tcPr>
            <w:tcW w:w="1559" w:type="dxa"/>
            <w:gridSpan w:val="2"/>
            <w:vAlign w:val="center"/>
          </w:tcPr>
          <w:p w14:paraId="18739EBE" w14:textId="77777777" w:rsidR="004C1863"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60607"/>
                <w:kern w:val="0"/>
                <w:szCs w:val="21"/>
                <w:lang w:bidi="ar"/>
              </w:rPr>
              <w:t>无</w:t>
            </w:r>
          </w:p>
        </w:tc>
        <w:tc>
          <w:tcPr>
            <w:tcW w:w="1276" w:type="dxa"/>
            <w:vAlign w:val="center"/>
          </w:tcPr>
          <w:p w14:paraId="6F79703F"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汕头大学</w:t>
            </w:r>
          </w:p>
        </w:tc>
        <w:tc>
          <w:tcPr>
            <w:tcW w:w="1468" w:type="dxa"/>
            <w:vAlign w:val="center"/>
          </w:tcPr>
          <w:p w14:paraId="056C7884" w14:textId="77777777" w:rsidR="004C1863" w:rsidRDefault="00000000">
            <w:pPr>
              <w:widowControl/>
              <w:jc w:val="left"/>
              <w:textAlignment w:val="center"/>
              <w:rPr>
                <w:rFonts w:ascii="仿宋" w:eastAsia="仿宋" w:hAnsi="仿宋" w:cs="仿宋" w:hint="eastAsia"/>
              </w:rPr>
            </w:pPr>
            <w:r>
              <w:rPr>
                <w:rFonts w:ascii="仿宋" w:eastAsia="仿宋" w:hAnsi="仿宋" w:cs="仿宋" w:hint="eastAsia"/>
                <w:color w:val="060607"/>
                <w:kern w:val="0"/>
                <w:szCs w:val="21"/>
                <w:lang w:bidi="ar"/>
              </w:rPr>
              <w:t>无</w:t>
            </w:r>
          </w:p>
        </w:tc>
      </w:tr>
    </w:tbl>
    <w:p w14:paraId="477EA224" w14:textId="2F68FB93" w:rsidR="004C1863" w:rsidRDefault="004C1863" w:rsidP="00E7455D">
      <w:pPr>
        <w:spacing w:line="400" w:lineRule="exact"/>
        <w:rPr>
          <w:rFonts w:hint="eastAsia"/>
        </w:rPr>
      </w:pPr>
    </w:p>
    <w:sectPr w:rsidR="004C186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20B5"/>
    <w:multiLevelType w:val="multilevel"/>
    <w:tmpl w:val="1E2120B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ECB3D45"/>
    <w:multiLevelType w:val="singleLevel"/>
    <w:tmpl w:val="5ECB3D45"/>
    <w:lvl w:ilvl="0">
      <w:start w:val="1"/>
      <w:numFmt w:val="decimal"/>
      <w:suff w:val="nothing"/>
      <w:lvlText w:val="%1、"/>
      <w:lvlJc w:val="left"/>
    </w:lvl>
  </w:abstractNum>
  <w:num w:numId="1" w16cid:durableId="336732495">
    <w:abstractNumId w:val="0"/>
  </w:num>
  <w:num w:numId="2" w16cid:durableId="36467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781"/>
    <w:rsid w:val="00012793"/>
    <w:rsid w:val="00083163"/>
    <w:rsid w:val="00215BAC"/>
    <w:rsid w:val="00241148"/>
    <w:rsid w:val="0027162A"/>
    <w:rsid w:val="002B1809"/>
    <w:rsid w:val="002B1FB5"/>
    <w:rsid w:val="002D1C65"/>
    <w:rsid w:val="003115B6"/>
    <w:rsid w:val="00390A69"/>
    <w:rsid w:val="003D333D"/>
    <w:rsid w:val="003D5185"/>
    <w:rsid w:val="003E1FC8"/>
    <w:rsid w:val="004662F4"/>
    <w:rsid w:val="004C1863"/>
    <w:rsid w:val="005A420D"/>
    <w:rsid w:val="005B27B4"/>
    <w:rsid w:val="005C77C4"/>
    <w:rsid w:val="00635AA1"/>
    <w:rsid w:val="00637CAC"/>
    <w:rsid w:val="00787781"/>
    <w:rsid w:val="00850814"/>
    <w:rsid w:val="008820CC"/>
    <w:rsid w:val="009048E5"/>
    <w:rsid w:val="00941C6C"/>
    <w:rsid w:val="009C2C6A"/>
    <w:rsid w:val="009C60A7"/>
    <w:rsid w:val="00B4009A"/>
    <w:rsid w:val="00B76C90"/>
    <w:rsid w:val="00BC0C1B"/>
    <w:rsid w:val="00CB42F7"/>
    <w:rsid w:val="00D059A9"/>
    <w:rsid w:val="00D146AB"/>
    <w:rsid w:val="00D231C5"/>
    <w:rsid w:val="00D24AB5"/>
    <w:rsid w:val="00D472A7"/>
    <w:rsid w:val="00DE782F"/>
    <w:rsid w:val="00DF4B33"/>
    <w:rsid w:val="00E5644E"/>
    <w:rsid w:val="00E7455D"/>
    <w:rsid w:val="00E85114"/>
    <w:rsid w:val="00EA5D5E"/>
    <w:rsid w:val="00EB394B"/>
    <w:rsid w:val="00F22001"/>
    <w:rsid w:val="00FB7A11"/>
    <w:rsid w:val="279F32FB"/>
    <w:rsid w:val="29F92376"/>
    <w:rsid w:val="3D8F574E"/>
    <w:rsid w:val="3F80043B"/>
    <w:rsid w:val="43A62283"/>
    <w:rsid w:val="52CF2BDE"/>
    <w:rsid w:val="55421004"/>
    <w:rsid w:val="65FA5008"/>
    <w:rsid w:val="6672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54B55"/>
  <w15:docId w15:val="{52A6A521-A2F8-4688-B5A8-B49445DF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qFormat/>
    <w:rPr>
      <w:kern w:val="2"/>
      <w:sz w:val="18"/>
      <w:szCs w:val="18"/>
    </w:rPr>
  </w:style>
  <w:style w:type="character" w:customStyle="1" w:styleId="a7">
    <w:name w:val="页眉 字符"/>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404</Words>
  <Characters>2308</Characters>
  <Application>Microsoft Office Word</Application>
  <DocSecurity>0</DocSecurity>
  <Lines>19</Lines>
  <Paragraphs>5</Paragraphs>
  <ScaleCrop>false</ScaleCrop>
  <Company>WWW.YlmF.CoM</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出访报告评估表</dc:title>
  <dc:creator>雨林木风</dc:creator>
  <cp:lastModifiedBy>国际交流合作处</cp:lastModifiedBy>
  <cp:revision>12</cp:revision>
  <cp:lastPrinted>2010-03-09T03:50:00Z</cp:lastPrinted>
  <dcterms:created xsi:type="dcterms:W3CDTF">2023-12-12T01:48:00Z</dcterms:created>
  <dcterms:modified xsi:type="dcterms:W3CDTF">2025-09-24T02:48:00Z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9EFD6B3C93574595B15F412C379E905C_13</vt:lpwstr>
  </property>
  <property fmtid="{D5CDD505-2E9C-101B-9397-08002B2CF9AE}" pid="4" name="KSOTemplateDocerSaveRecord">
    <vt:lpwstr>eyJoZGlkIjoiZmYzM2Y2YjAwZTFhZDQ2M2NlNTJmZWQ3ZGE2ZTlkYmMiLCJ1c2VySWQiOiIxMTc1MzIzNSJ9</vt:lpwstr>
  </property>
</Properties>
</file>